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927E" w14:textId="5DCA66FA" w:rsidR="00BC7509" w:rsidRPr="00411842" w:rsidRDefault="00BC7509" w:rsidP="00BC7509">
      <w:pPr>
        <w:pStyle w:val="Default"/>
        <w:spacing w:before="120" w:after="120"/>
        <w:jc w:val="center"/>
        <w:rPr>
          <w:sz w:val="22"/>
          <w:szCs w:val="22"/>
        </w:rPr>
      </w:pPr>
      <w:r w:rsidRPr="00411842">
        <w:rPr>
          <w:b/>
          <w:bCs/>
          <w:sz w:val="22"/>
          <w:szCs w:val="22"/>
        </w:rPr>
        <w:t xml:space="preserve">POLÍTICA </w:t>
      </w:r>
      <w:r w:rsidR="00302678" w:rsidRPr="00411842">
        <w:rPr>
          <w:b/>
          <w:bCs/>
          <w:sz w:val="22"/>
          <w:szCs w:val="22"/>
        </w:rPr>
        <w:t>DE NO REUSO</w:t>
      </w:r>
    </w:p>
    <w:p w14:paraId="5682974A" w14:textId="77777777" w:rsidR="00411842" w:rsidRDefault="00411842" w:rsidP="00302678">
      <w:pPr>
        <w:pStyle w:val="Default"/>
        <w:widowControl w:val="0"/>
        <w:spacing w:before="120" w:after="120"/>
        <w:jc w:val="both"/>
        <w:rPr>
          <w:sz w:val="22"/>
          <w:szCs w:val="22"/>
        </w:rPr>
      </w:pPr>
    </w:p>
    <w:p w14:paraId="4794B89A" w14:textId="39A85E90" w:rsidR="00302678" w:rsidRPr="00411842" w:rsidRDefault="00302678" w:rsidP="00302678">
      <w:pPr>
        <w:pStyle w:val="Default"/>
        <w:widowControl w:val="0"/>
        <w:spacing w:before="120" w:after="120"/>
        <w:jc w:val="both"/>
        <w:rPr>
          <w:sz w:val="22"/>
          <w:szCs w:val="22"/>
        </w:rPr>
      </w:pPr>
      <w:r w:rsidRPr="00411842">
        <w:rPr>
          <w:sz w:val="22"/>
          <w:szCs w:val="22"/>
        </w:rPr>
        <w:t xml:space="preserve">El Gerente de la Empresa Social del Estado Hospital Santa Isabel y sus colaboradores se comprometen a brindar una atención segura y centrada en el usuario, fortaleciendo la comunicación y la alianza entre los trabajadores, usuario, familia y comunidad universitaria, fomentando de manera continua la cultura de seguridad del paciente en las diferentes áreas organizacionales y los diferentes actores que promueva </w:t>
      </w:r>
      <w:r w:rsidRPr="00411842">
        <w:rPr>
          <w:sz w:val="22"/>
          <w:szCs w:val="22"/>
        </w:rPr>
        <w:t xml:space="preserve">el no </w:t>
      </w:r>
      <w:r w:rsidR="00411842" w:rsidRPr="00411842">
        <w:rPr>
          <w:sz w:val="22"/>
          <w:szCs w:val="22"/>
        </w:rPr>
        <w:t>reúso</w:t>
      </w:r>
      <w:r w:rsidRPr="00411842">
        <w:rPr>
          <w:sz w:val="22"/>
          <w:szCs w:val="22"/>
        </w:rPr>
        <w:t xml:space="preserve"> de material </w:t>
      </w:r>
      <w:r w:rsidR="00411842" w:rsidRPr="00411842">
        <w:rPr>
          <w:sz w:val="22"/>
          <w:szCs w:val="22"/>
        </w:rPr>
        <w:t>médico</w:t>
      </w:r>
      <w:r w:rsidRPr="00411842">
        <w:rPr>
          <w:sz w:val="22"/>
          <w:szCs w:val="22"/>
        </w:rPr>
        <w:t>-</w:t>
      </w:r>
      <w:r w:rsidR="00411842" w:rsidRPr="00411842">
        <w:rPr>
          <w:sz w:val="22"/>
          <w:szCs w:val="22"/>
        </w:rPr>
        <w:t>quirúrgico</w:t>
      </w:r>
      <w:r w:rsidRPr="00411842">
        <w:rPr>
          <w:sz w:val="22"/>
          <w:szCs w:val="22"/>
        </w:rPr>
        <w:t xml:space="preserve"> y equipos y dispositivos biomédicos</w:t>
      </w:r>
      <w:r w:rsidRPr="00411842">
        <w:rPr>
          <w:sz w:val="22"/>
          <w:szCs w:val="22"/>
        </w:rPr>
        <w:t xml:space="preserve">, articulando la seguridad del paciente desde los componentes del sistema obligatorio de la garantía de la calidad en salud e implementando metodologías y herramientas prácticas basadas en evidencia científica, que lleve a la organización a ser confiable por la gestión de la seguridad del paciente hacia todos sus grupos de interés. </w:t>
      </w:r>
    </w:p>
    <w:p w14:paraId="2F7ADA2B" w14:textId="411880AC" w:rsidR="00302678" w:rsidRPr="00411842" w:rsidRDefault="00302678" w:rsidP="00302678">
      <w:pPr>
        <w:pStyle w:val="Default"/>
        <w:widowControl w:val="0"/>
        <w:spacing w:before="120" w:after="120"/>
        <w:jc w:val="both"/>
        <w:rPr>
          <w:sz w:val="22"/>
          <w:szCs w:val="22"/>
        </w:rPr>
      </w:pPr>
      <w:r w:rsidRPr="00411842">
        <w:rPr>
          <w:sz w:val="22"/>
          <w:szCs w:val="22"/>
        </w:rPr>
        <w:t>En la ESE Santa Isabel, solo s</w:t>
      </w:r>
      <w:r w:rsidRPr="00411842">
        <w:rPr>
          <w:sz w:val="22"/>
          <w:szCs w:val="22"/>
        </w:rPr>
        <w:t xml:space="preserve">e </w:t>
      </w:r>
      <w:r w:rsidR="00411842" w:rsidRPr="00411842">
        <w:rPr>
          <w:sz w:val="22"/>
          <w:szCs w:val="22"/>
        </w:rPr>
        <w:t>reusarán</w:t>
      </w:r>
      <w:r w:rsidRPr="00411842">
        <w:rPr>
          <w:sz w:val="22"/>
          <w:szCs w:val="22"/>
        </w:rPr>
        <w:t xml:space="preserve"> aquellos dispositivos médicos cuyo estado de integridad no generen complicaciones y no pongan en riesgo la seguridad del paciente, esto apoyado en criterios previamente definidos por los comité de calidad y comité de infecciones, sujetos al criterio técnico científico del equipo médico y procedimientos basados en evidencia científica que demuestren que el reprocesamiento del dispositivo médico no implica reducción de la eficacia y desempeño para lo cual es usado, ni riesgo de infecciones o complicaciones por los</w:t>
      </w:r>
      <w:r w:rsidRPr="00411842">
        <w:rPr>
          <w:sz w:val="22"/>
          <w:szCs w:val="22"/>
        </w:rPr>
        <w:t xml:space="preserve"> </w:t>
      </w:r>
      <w:r w:rsidRPr="00411842">
        <w:rPr>
          <w:sz w:val="22"/>
          <w:szCs w:val="22"/>
        </w:rPr>
        <w:t>procedimientos.</w:t>
      </w:r>
    </w:p>
    <w:p w14:paraId="426659CC" w14:textId="77777777" w:rsidR="00302678" w:rsidRPr="00411842" w:rsidRDefault="00302678" w:rsidP="00302678">
      <w:pPr>
        <w:pStyle w:val="Default"/>
        <w:widowControl w:val="0"/>
        <w:spacing w:before="120" w:after="120"/>
        <w:jc w:val="both"/>
        <w:rPr>
          <w:b/>
          <w:bCs/>
          <w:sz w:val="22"/>
          <w:szCs w:val="22"/>
        </w:rPr>
      </w:pPr>
    </w:p>
    <w:p w14:paraId="17105E84" w14:textId="77777777" w:rsidR="00302678" w:rsidRPr="00411842" w:rsidRDefault="00302678" w:rsidP="00302678">
      <w:pPr>
        <w:pStyle w:val="Default"/>
        <w:widowControl w:val="0"/>
        <w:spacing w:before="120" w:after="120"/>
        <w:jc w:val="both"/>
        <w:rPr>
          <w:sz w:val="22"/>
          <w:szCs w:val="22"/>
        </w:rPr>
      </w:pPr>
      <w:r w:rsidRPr="00411842">
        <w:rPr>
          <w:b/>
          <w:bCs/>
          <w:sz w:val="22"/>
          <w:szCs w:val="22"/>
        </w:rPr>
        <w:t xml:space="preserve">VALORES </w:t>
      </w:r>
    </w:p>
    <w:p w14:paraId="6A06BEF3" w14:textId="77777777" w:rsidR="00302678" w:rsidRPr="00411842" w:rsidRDefault="00302678" w:rsidP="00302678">
      <w:pPr>
        <w:pStyle w:val="Default"/>
        <w:widowControl w:val="0"/>
        <w:numPr>
          <w:ilvl w:val="0"/>
          <w:numId w:val="5"/>
        </w:numPr>
        <w:spacing w:before="120" w:after="120"/>
        <w:ind w:left="0" w:firstLine="0"/>
        <w:jc w:val="both"/>
        <w:rPr>
          <w:sz w:val="22"/>
          <w:szCs w:val="22"/>
        </w:rPr>
      </w:pPr>
      <w:r w:rsidRPr="00411842">
        <w:rPr>
          <w:sz w:val="22"/>
          <w:szCs w:val="22"/>
        </w:rPr>
        <w:t>Calidad</w:t>
      </w:r>
    </w:p>
    <w:p w14:paraId="1FD857AE" w14:textId="77777777" w:rsidR="00302678" w:rsidRPr="00411842" w:rsidRDefault="00302678" w:rsidP="00302678">
      <w:pPr>
        <w:pStyle w:val="Default"/>
        <w:widowControl w:val="0"/>
        <w:numPr>
          <w:ilvl w:val="0"/>
          <w:numId w:val="5"/>
        </w:numPr>
        <w:spacing w:before="120" w:after="120"/>
        <w:ind w:left="0" w:firstLine="0"/>
        <w:jc w:val="both"/>
        <w:rPr>
          <w:sz w:val="22"/>
          <w:szCs w:val="22"/>
        </w:rPr>
      </w:pPr>
      <w:r w:rsidRPr="00411842">
        <w:rPr>
          <w:sz w:val="22"/>
          <w:szCs w:val="22"/>
        </w:rPr>
        <w:t>Eficiencia</w:t>
      </w:r>
    </w:p>
    <w:p w14:paraId="49A87B29" w14:textId="77777777" w:rsidR="00302678" w:rsidRPr="00411842" w:rsidRDefault="00302678" w:rsidP="00302678">
      <w:pPr>
        <w:pStyle w:val="Default"/>
        <w:widowControl w:val="0"/>
        <w:numPr>
          <w:ilvl w:val="0"/>
          <w:numId w:val="5"/>
        </w:numPr>
        <w:spacing w:before="120" w:after="120"/>
        <w:ind w:left="0" w:firstLine="0"/>
        <w:jc w:val="both"/>
        <w:rPr>
          <w:sz w:val="22"/>
          <w:szCs w:val="22"/>
        </w:rPr>
      </w:pPr>
      <w:r w:rsidRPr="00411842">
        <w:rPr>
          <w:sz w:val="22"/>
          <w:szCs w:val="22"/>
        </w:rPr>
        <w:t>Equidad</w:t>
      </w:r>
    </w:p>
    <w:p w14:paraId="5F89C2A3" w14:textId="77777777" w:rsidR="00302678" w:rsidRPr="00411842" w:rsidRDefault="00302678" w:rsidP="00302678">
      <w:pPr>
        <w:pStyle w:val="Default"/>
        <w:widowControl w:val="0"/>
        <w:numPr>
          <w:ilvl w:val="0"/>
          <w:numId w:val="5"/>
        </w:numPr>
        <w:spacing w:before="120" w:after="120"/>
        <w:ind w:left="0" w:firstLine="0"/>
        <w:jc w:val="both"/>
        <w:rPr>
          <w:sz w:val="22"/>
          <w:szCs w:val="22"/>
        </w:rPr>
      </w:pPr>
      <w:r w:rsidRPr="00411842">
        <w:rPr>
          <w:sz w:val="22"/>
          <w:szCs w:val="22"/>
        </w:rPr>
        <w:t>Compromiso</w:t>
      </w:r>
    </w:p>
    <w:p w14:paraId="42FCD2E3" w14:textId="77777777" w:rsidR="00302678" w:rsidRPr="00411842" w:rsidRDefault="00302678" w:rsidP="00302678">
      <w:pPr>
        <w:pStyle w:val="Default"/>
        <w:widowControl w:val="0"/>
        <w:numPr>
          <w:ilvl w:val="0"/>
          <w:numId w:val="5"/>
        </w:numPr>
        <w:spacing w:before="120" w:after="120"/>
        <w:ind w:left="0" w:firstLine="0"/>
        <w:jc w:val="both"/>
        <w:rPr>
          <w:sz w:val="22"/>
          <w:szCs w:val="22"/>
        </w:rPr>
      </w:pPr>
      <w:r w:rsidRPr="00411842">
        <w:rPr>
          <w:sz w:val="22"/>
          <w:szCs w:val="22"/>
        </w:rPr>
        <w:t>Sentido de Pertenencia</w:t>
      </w:r>
    </w:p>
    <w:p w14:paraId="783328FA" w14:textId="77777777" w:rsidR="00302678" w:rsidRPr="00411842" w:rsidRDefault="00302678" w:rsidP="00302678">
      <w:pPr>
        <w:pStyle w:val="Default"/>
        <w:widowControl w:val="0"/>
        <w:spacing w:before="120" w:after="120"/>
        <w:jc w:val="both"/>
        <w:rPr>
          <w:sz w:val="22"/>
          <w:szCs w:val="22"/>
        </w:rPr>
      </w:pPr>
    </w:p>
    <w:p w14:paraId="5DB7E8D8" w14:textId="77777777" w:rsidR="00302678" w:rsidRPr="00411842" w:rsidRDefault="00302678" w:rsidP="00302678">
      <w:pPr>
        <w:pStyle w:val="Default"/>
        <w:widowControl w:val="0"/>
        <w:spacing w:before="120" w:after="120"/>
        <w:jc w:val="both"/>
        <w:rPr>
          <w:sz w:val="22"/>
          <w:szCs w:val="22"/>
        </w:rPr>
      </w:pPr>
      <w:r w:rsidRPr="00411842">
        <w:rPr>
          <w:b/>
          <w:bCs/>
          <w:sz w:val="22"/>
          <w:szCs w:val="22"/>
        </w:rPr>
        <w:t xml:space="preserve">PRINCIPIOS </w:t>
      </w:r>
    </w:p>
    <w:p w14:paraId="736C8134" w14:textId="77777777" w:rsidR="00302678" w:rsidRPr="00411842" w:rsidRDefault="00302678" w:rsidP="00302678">
      <w:pPr>
        <w:pStyle w:val="Default"/>
        <w:widowControl w:val="0"/>
        <w:numPr>
          <w:ilvl w:val="0"/>
          <w:numId w:val="6"/>
        </w:numPr>
        <w:spacing w:before="120" w:after="120"/>
        <w:ind w:left="0" w:firstLine="0"/>
        <w:jc w:val="both"/>
        <w:rPr>
          <w:sz w:val="22"/>
          <w:szCs w:val="22"/>
        </w:rPr>
      </w:pPr>
      <w:r w:rsidRPr="00411842">
        <w:rPr>
          <w:sz w:val="22"/>
          <w:szCs w:val="22"/>
        </w:rPr>
        <w:t>Humanismo</w:t>
      </w:r>
    </w:p>
    <w:p w14:paraId="24A5A6D2" w14:textId="77777777" w:rsidR="00302678" w:rsidRPr="00411842" w:rsidRDefault="00302678" w:rsidP="00302678">
      <w:pPr>
        <w:pStyle w:val="Default"/>
        <w:widowControl w:val="0"/>
        <w:numPr>
          <w:ilvl w:val="0"/>
          <w:numId w:val="6"/>
        </w:numPr>
        <w:spacing w:before="120" w:after="120"/>
        <w:ind w:left="0" w:firstLine="0"/>
        <w:jc w:val="both"/>
        <w:rPr>
          <w:sz w:val="22"/>
          <w:szCs w:val="22"/>
        </w:rPr>
      </w:pPr>
      <w:r w:rsidRPr="00411842">
        <w:rPr>
          <w:sz w:val="22"/>
          <w:szCs w:val="22"/>
        </w:rPr>
        <w:t>Responsabilidad</w:t>
      </w:r>
    </w:p>
    <w:p w14:paraId="01FD94BE" w14:textId="77777777" w:rsidR="00302678" w:rsidRPr="00411842" w:rsidRDefault="00302678" w:rsidP="00302678">
      <w:pPr>
        <w:pStyle w:val="Default"/>
        <w:widowControl w:val="0"/>
        <w:numPr>
          <w:ilvl w:val="0"/>
          <w:numId w:val="6"/>
        </w:numPr>
        <w:spacing w:before="120" w:after="120"/>
        <w:ind w:left="0" w:firstLine="0"/>
        <w:jc w:val="both"/>
        <w:rPr>
          <w:sz w:val="22"/>
          <w:szCs w:val="22"/>
        </w:rPr>
      </w:pPr>
      <w:r w:rsidRPr="00411842">
        <w:rPr>
          <w:sz w:val="22"/>
          <w:szCs w:val="22"/>
        </w:rPr>
        <w:t>Excelencia</w:t>
      </w:r>
    </w:p>
    <w:p w14:paraId="783FF751" w14:textId="77777777" w:rsidR="00302678" w:rsidRPr="00411842" w:rsidRDefault="00302678" w:rsidP="00302678">
      <w:pPr>
        <w:pStyle w:val="Default"/>
        <w:widowControl w:val="0"/>
        <w:spacing w:before="120" w:after="120"/>
        <w:jc w:val="both"/>
        <w:rPr>
          <w:sz w:val="22"/>
          <w:szCs w:val="22"/>
        </w:rPr>
      </w:pPr>
    </w:p>
    <w:p w14:paraId="48FFC468" w14:textId="77777777" w:rsidR="00302678" w:rsidRPr="00411842" w:rsidRDefault="00302678" w:rsidP="00302678">
      <w:pPr>
        <w:pStyle w:val="Default"/>
        <w:widowControl w:val="0"/>
        <w:spacing w:before="120" w:after="120"/>
        <w:jc w:val="both"/>
        <w:rPr>
          <w:b/>
          <w:bCs/>
          <w:sz w:val="22"/>
          <w:szCs w:val="22"/>
        </w:rPr>
      </w:pPr>
      <w:r w:rsidRPr="00411842">
        <w:rPr>
          <w:b/>
          <w:bCs/>
          <w:sz w:val="22"/>
          <w:szCs w:val="22"/>
        </w:rPr>
        <w:t xml:space="preserve">OBJETIVOS DE LA POLÍTICA </w:t>
      </w:r>
    </w:p>
    <w:p w14:paraId="5E6046AD" w14:textId="77777777" w:rsidR="00302678" w:rsidRPr="00411842" w:rsidRDefault="00302678" w:rsidP="00302678">
      <w:pPr>
        <w:pStyle w:val="Default"/>
        <w:widowControl w:val="0"/>
        <w:spacing w:before="120" w:after="120"/>
        <w:jc w:val="both"/>
        <w:rPr>
          <w:sz w:val="22"/>
          <w:szCs w:val="22"/>
        </w:rPr>
      </w:pPr>
      <w:r w:rsidRPr="00411842">
        <w:rPr>
          <w:sz w:val="22"/>
          <w:szCs w:val="22"/>
        </w:rPr>
        <w:t xml:space="preserve">OBJETIVO GENERAL: </w:t>
      </w:r>
    </w:p>
    <w:p w14:paraId="79BA379F" w14:textId="100D0407" w:rsidR="00302678" w:rsidRPr="00411842" w:rsidRDefault="00302678" w:rsidP="00302678">
      <w:pPr>
        <w:pStyle w:val="Default"/>
        <w:widowControl w:val="0"/>
        <w:spacing w:before="120" w:after="120"/>
        <w:jc w:val="both"/>
        <w:rPr>
          <w:sz w:val="22"/>
          <w:szCs w:val="22"/>
        </w:rPr>
      </w:pPr>
      <w:r w:rsidRPr="00411842">
        <w:rPr>
          <w:sz w:val="22"/>
          <w:szCs w:val="22"/>
        </w:rPr>
        <w:lastRenderedPageBreak/>
        <w:t xml:space="preserve">Administrar y gestionar el uso y reúso de algunos dispositivos médicos en la atención en salud que oferta la institución a sus usuarios en cada una de las IPS de la ESE Hospital </w:t>
      </w:r>
      <w:r w:rsidRPr="00411842">
        <w:rPr>
          <w:sz w:val="22"/>
          <w:szCs w:val="22"/>
        </w:rPr>
        <w:t>Santa Isabel</w:t>
      </w:r>
      <w:r w:rsidRPr="00411842">
        <w:rPr>
          <w:sz w:val="22"/>
          <w:szCs w:val="22"/>
        </w:rPr>
        <w:t xml:space="preserve">. </w:t>
      </w:r>
    </w:p>
    <w:p w14:paraId="1A88E02E" w14:textId="77777777" w:rsidR="00302678" w:rsidRPr="00411842" w:rsidRDefault="00302678" w:rsidP="00302678">
      <w:pPr>
        <w:pStyle w:val="Default"/>
        <w:widowControl w:val="0"/>
        <w:spacing w:before="120" w:after="120"/>
        <w:jc w:val="both"/>
        <w:rPr>
          <w:sz w:val="22"/>
          <w:szCs w:val="22"/>
        </w:rPr>
      </w:pPr>
    </w:p>
    <w:p w14:paraId="0C82BF10" w14:textId="337E978E" w:rsidR="00302678" w:rsidRPr="00411842" w:rsidRDefault="00302678" w:rsidP="00302678">
      <w:pPr>
        <w:pStyle w:val="Default"/>
        <w:widowControl w:val="0"/>
        <w:spacing w:before="120" w:after="120"/>
        <w:jc w:val="both"/>
        <w:rPr>
          <w:sz w:val="22"/>
          <w:szCs w:val="22"/>
        </w:rPr>
      </w:pPr>
      <w:r w:rsidRPr="00411842">
        <w:rPr>
          <w:sz w:val="22"/>
          <w:szCs w:val="22"/>
        </w:rPr>
        <w:t xml:space="preserve">OBJETIVOS ESPECÍFICOS: </w:t>
      </w:r>
    </w:p>
    <w:p w14:paraId="08C10B60" w14:textId="7776FF1F" w:rsidR="00302678" w:rsidRPr="00411842" w:rsidRDefault="00302678" w:rsidP="00302678">
      <w:pPr>
        <w:pStyle w:val="Default"/>
        <w:widowControl w:val="0"/>
        <w:numPr>
          <w:ilvl w:val="1"/>
          <w:numId w:val="9"/>
        </w:numPr>
        <w:spacing w:before="120" w:after="120"/>
        <w:ind w:left="426"/>
        <w:jc w:val="both"/>
        <w:rPr>
          <w:sz w:val="22"/>
          <w:szCs w:val="22"/>
        </w:rPr>
      </w:pPr>
      <w:r w:rsidRPr="00411842">
        <w:rPr>
          <w:sz w:val="22"/>
          <w:szCs w:val="22"/>
        </w:rPr>
        <w:t xml:space="preserve">Garantizar la máxima seguridad a nuestros usuarios en la prestación de servicios médicos, odontológicos y de laboratorio. </w:t>
      </w:r>
    </w:p>
    <w:p w14:paraId="14F9B772" w14:textId="0A962551" w:rsidR="00302678" w:rsidRPr="00411842" w:rsidRDefault="00302678" w:rsidP="00302678">
      <w:pPr>
        <w:pStyle w:val="Default"/>
        <w:widowControl w:val="0"/>
        <w:numPr>
          <w:ilvl w:val="1"/>
          <w:numId w:val="9"/>
        </w:numPr>
        <w:spacing w:before="120" w:after="120"/>
        <w:ind w:left="426"/>
        <w:jc w:val="both"/>
        <w:rPr>
          <w:sz w:val="22"/>
          <w:szCs w:val="22"/>
        </w:rPr>
      </w:pPr>
      <w:r w:rsidRPr="00411842">
        <w:rPr>
          <w:sz w:val="22"/>
          <w:szCs w:val="22"/>
        </w:rPr>
        <w:t xml:space="preserve">Establecer los dispositivos médicos, odontológicos y de laboratorio clínico que se pueden reusar mediante el análisis de la ficha técnica del fabricante y sus recomendaciones específicas de uso y debido reproceso. </w:t>
      </w:r>
    </w:p>
    <w:p w14:paraId="3E88CBBE" w14:textId="3D224EB8" w:rsidR="00302678" w:rsidRPr="00411842" w:rsidRDefault="00302678" w:rsidP="00302678">
      <w:pPr>
        <w:pStyle w:val="Default"/>
        <w:widowControl w:val="0"/>
        <w:numPr>
          <w:ilvl w:val="1"/>
          <w:numId w:val="9"/>
        </w:numPr>
        <w:spacing w:before="120" w:after="120"/>
        <w:ind w:left="426"/>
        <w:jc w:val="both"/>
        <w:rPr>
          <w:sz w:val="22"/>
          <w:szCs w:val="22"/>
        </w:rPr>
      </w:pPr>
      <w:r w:rsidRPr="00411842">
        <w:rPr>
          <w:sz w:val="22"/>
          <w:szCs w:val="22"/>
        </w:rPr>
        <w:t xml:space="preserve">Realizar para cada elemento el procedimiento y sus criterios para su reúso. </w:t>
      </w:r>
    </w:p>
    <w:p w14:paraId="704B2C5C" w14:textId="6832CED2" w:rsidR="00302678" w:rsidRPr="00411842" w:rsidRDefault="00302678" w:rsidP="00302678">
      <w:pPr>
        <w:pStyle w:val="Default"/>
        <w:widowControl w:val="0"/>
        <w:numPr>
          <w:ilvl w:val="1"/>
          <w:numId w:val="9"/>
        </w:numPr>
        <w:spacing w:before="120" w:after="120"/>
        <w:ind w:left="426"/>
        <w:jc w:val="both"/>
        <w:rPr>
          <w:sz w:val="22"/>
          <w:szCs w:val="22"/>
        </w:rPr>
      </w:pPr>
      <w:r w:rsidRPr="00411842">
        <w:rPr>
          <w:sz w:val="22"/>
          <w:szCs w:val="22"/>
        </w:rPr>
        <w:t>Optimizar recursos económicos, sin detrimento de la calidad y seguridad de los pacientes.</w:t>
      </w:r>
    </w:p>
    <w:p w14:paraId="589050F4" w14:textId="77777777" w:rsidR="00302678" w:rsidRPr="00411842" w:rsidRDefault="00302678" w:rsidP="00302678">
      <w:pPr>
        <w:pStyle w:val="Default"/>
        <w:widowControl w:val="0"/>
        <w:spacing w:before="120" w:after="120"/>
        <w:jc w:val="both"/>
        <w:rPr>
          <w:b/>
          <w:bCs/>
          <w:color w:val="auto"/>
          <w:sz w:val="22"/>
          <w:szCs w:val="22"/>
        </w:rPr>
      </w:pPr>
    </w:p>
    <w:p w14:paraId="1317E398" w14:textId="77777777" w:rsidR="00302678" w:rsidRPr="00411842" w:rsidRDefault="00302678" w:rsidP="00302678">
      <w:pPr>
        <w:pStyle w:val="Default"/>
        <w:widowControl w:val="0"/>
        <w:spacing w:before="120" w:after="120"/>
        <w:jc w:val="both"/>
        <w:rPr>
          <w:sz w:val="22"/>
          <w:szCs w:val="22"/>
        </w:rPr>
      </w:pPr>
      <w:r w:rsidRPr="00411842">
        <w:rPr>
          <w:sz w:val="22"/>
          <w:szCs w:val="22"/>
        </w:rPr>
        <w:t xml:space="preserve">LINEAMIENTOS PARA LA IMPLEMENTACIÓN DE LA POLÍTICA DE USO Y REUSÓ DE DISPOSITIVOS MÉDICOS </w:t>
      </w:r>
    </w:p>
    <w:p w14:paraId="3C647E76" w14:textId="751018BF" w:rsidR="00302678" w:rsidRPr="00411842" w:rsidRDefault="00302678" w:rsidP="00302678">
      <w:pPr>
        <w:pStyle w:val="Default"/>
        <w:widowControl w:val="0"/>
        <w:numPr>
          <w:ilvl w:val="1"/>
          <w:numId w:val="5"/>
        </w:numPr>
        <w:spacing w:before="120" w:after="120"/>
        <w:ind w:left="426"/>
        <w:jc w:val="both"/>
        <w:rPr>
          <w:sz w:val="22"/>
          <w:szCs w:val="22"/>
        </w:rPr>
      </w:pPr>
      <w:r w:rsidRPr="00411842">
        <w:rPr>
          <w:sz w:val="22"/>
          <w:szCs w:val="22"/>
        </w:rPr>
        <w:t xml:space="preserve">Se </w:t>
      </w:r>
      <w:r w:rsidR="00411842" w:rsidRPr="00411842">
        <w:rPr>
          <w:sz w:val="22"/>
          <w:szCs w:val="22"/>
        </w:rPr>
        <w:t>reusara</w:t>
      </w:r>
      <w:r w:rsidRPr="00411842">
        <w:rPr>
          <w:sz w:val="22"/>
          <w:szCs w:val="22"/>
        </w:rPr>
        <w:t xml:space="preserve"> solo dispositivos que cumplan las definiciones establecidas por la normatividad vigente como </w:t>
      </w:r>
      <w:r w:rsidR="00411842" w:rsidRPr="00411842">
        <w:rPr>
          <w:sz w:val="22"/>
          <w:szCs w:val="22"/>
        </w:rPr>
        <w:t>prácticas</w:t>
      </w:r>
      <w:r w:rsidRPr="00411842">
        <w:rPr>
          <w:sz w:val="22"/>
          <w:szCs w:val="22"/>
        </w:rPr>
        <w:t xml:space="preserve"> de </w:t>
      </w:r>
      <w:r w:rsidR="00411842" w:rsidRPr="00411842">
        <w:rPr>
          <w:sz w:val="22"/>
          <w:szCs w:val="22"/>
        </w:rPr>
        <w:t>reúso</w:t>
      </w:r>
      <w:r w:rsidRPr="00411842">
        <w:rPr>
          <w:sz w:val="22"/>
          <w:szCs w:val="22"/>
        </w:rPr>
        <w:t xml:space="preserve">. No se reúsan dispositivos médicos que por disposición del fabricante se determinen como de "un solo uso". </w:t>
      </w:r>
    </w:p>
    <w:p w14:paraId="19B5BA70" w14:textId="5B8D1E49" w:rsidR="00302678" w:rsidRPr="00411842" w:rsidRDefault="00302678" w:rsidP="00302678">
      <w:pPr>
        <w:pStyle w:val="Default"/>
        <w:widowControl w:val="0"/>
        <w:numPr>
          <w:ilvl w:val="1"/>
          <w:numId w:val="5"/>
        </w:numPr>
        <w:spacing w:before="120" w:after="120"/>
        <w:ind w:left="426"/>
        <w:jc w:val="both"/>
        <w:rPr>
          <w:sz w:val="22"/>
          <w:szCs w:val="22"/>
        </w:rPr>
      </w:pPr>
      <w:r w:rsidRPr="00411842">
        <w:rPr>
          <w:sz w:val="22"/>
          <w:szCs w:val="22"/>
        </w:rPr>
        <w:t xml:space="preserve">La ESE Hospital Regional Sur Oriental definirá el número de usos de los dispositivos determinados para </w:t>
      </w:r>
      <w:r w:rsidR="00411842" w:rsidRPr="00411842">
        <w:rPr>
          <w:sz w:val="22"/>
          <w:szCs w:val="22"/>
        </w:rPr>
        <w:t>reúso</w:t>
      </w:r>
      <w:r w:rsidRPr="00411842">
        <w:rPr>
          <w:sz w:val="22"/>
          <w:szCs w:val="22"/>
        </w:rPr>
        <w:t xml:space="preserve">, teniendo en cuenta lo definido por el fabricante, su vida útil. </w:t>
      </w:r>
    </w:p>
    <w:p w14:paraId="79AFFF32" w14:textId="70F20575" w:rsidR="00302678" w:rsidRPr="00411842" w:rsidRDefault="00302678" w:rsidP="00302678">
      <w:pPr>
        <w:pStyle w:val="Default"/>
        <w:widowControl w:val="0"/>
        <w:numPr>
          <w:ilvl w:val="1"/>
          <w:numId w:val="5"/>
        </w:numPr>
        <w:spacing w:before="120" w:after="120"/>
        <w:ind w:left="426"/>
        <w:jc w:val="both"/>
        <w:rPr>
          <w:sz w:val="22"/>
          <w:szCs w:val="22"/>
        </w:rPr>
      </w:pPr>
      <w:r w:rsidRPr="00411842">
        <w:rPr>
          <w:sz w:val="22"/>
          <w:szCs w:val="22"/>
        </w:rPr>
        <w:t xml:space="preserve">Será responsabilidad de la central de esterilización de la institución el seguimiento al </w:t>
      </w:r>
      <w:r w:rsidR="00411842" w:rsidRPr="00411842">
        <w:rPr>
          <w:sz w:val="22"/>
          <w:szCs w:val="22"/>
        </w:rPr>
        <w:t>reúso</w:t>
      </w:r>
      <w:r w:rsidRPr="00411842">
        <w:rPr>
          <w:sz w:val="22"/>
          <w:szCs w:val="22"/>
        </w:rPr>
        <w:t xml:space="preserve"> </w:t>
      </w:r>
      <w:r w:rsidRPr="00411842">
        <w:rPr>
          <w:sz w:val="22"/>
          <w:szCs w:val="22"/>
        </w:rPr>
        <w:t xml:space="preserve">de los dispositivos desde su apertura hasta su disposición final. </w:t>
      </w:r>
    </w:p>
    <w:p w14:paraId="091E2B7B" w14:textId="0EC86E2E" w:rsidR="00302678" w:rsidRPr="00411842" w:rsidRDefault="00302678" w:rsidP="00302678">
      <w:pPr>
        <w:pStyle w:val="Default"/>
        <w:widowControl w:val="0"/>
        <w:numPr>
          <w:ilvl w:val="1"/>
          <w:numId w:val="5"/>
        </w:numPr>
        <w:spacing w:before="120" w:after="120"/>
        <w:ind w:left="426"/>
        <w:jc w:val="both"/>
        <w:rPr>
          <w:sz w:val="22"/>
          <w:szCs w:val="22"/>
        </w:rPr>
      </w:pPr>
      <w:r w:rsidRPr="00411842">
        <w:rPr>
          <w:sz w:val="22"/>
          <w:szCs w:val="22"/>
        </w:rPr>
        <w:t xml:space="preserve">El personal médico asistencial de la institución solo podrá reutilizar los dispositivos médicos incluidos en el listado de </w:t>
      </w:r>
      <w:r w:rsidR="00411842" w:rsidRPr="00411842">
        <w:rPr>
          <w:sz w:val="22"/>
          <w:szCs w:val="22"/>
        </w:rPr>
        <w:t>reúso</w:t>
      </w:r>
      <w:r w:rsidRPr="00411842">
        <w:rPr>
          <w:sz w:val="22"/>
          <w:szCs w:val="22"/>
        </w:rPr>
        <w:t xml:space="preserve"> establecido en el Manual y Protocolo de Uso y </w:t>
      </w:r>
      <w:r w:rsidR="00411842" w:rsidRPr="00411842">
        <w:rPr>
          <w:sz w:val="22"/>
          <w:szCs w:val="22"/>
        </w:rPr>
        <w:t>reúso</w:t>
      </w:r>
      <w:r w:rsidRPr="00411842">
        <w:rPr>
          <w:sz w:val="22"/>
          <w:szCs w:val="22"/>
        </w:rPr>
        <w:t xml:space="preserve">. </w:t>
      </w:r>
    </w:p>
    <w:p w14:paraId="37D56358" w14:textId="55197770" w:rsidR="00302678" w:rsidRPr="00411842" w:rsidRDefault="00302678" w:rsidP="00302678">
      <w:pPr>
        <w:pStyle w:val="Default"/>
        <w:widowControl w:val="0"/>
        <w:numPr>
          <w:ilvl w:val="1"/>
          <w:numId w:val="5"/>
        </w:numPr>
        <w:spacing w:before="120" w:after="120"/>
        <w:ind w:left="426"/>
        <w:jc w:val="both"/>
        <w:rPr>
          <w:sz w:val="22"/>
          <w:szCs w:val="22"/>
        </w:rPr>
      </w:pPr>
      <w:r w:rsidRPr="00411842">
        <w:rPr>
          <w:sz w:val="22"/>
          <w:szCs w:val="22"/>
        </w:rPr>
        <w:t xml:space="preserve">Se someterán a reprocesamiento solo dispositivos médicos que de acuerdo a sus especificaciones técnicas establecidas por el fabricante y su estructura física permiten y garantizan un adecuado proceso de limpieza, desinfección y esterilización. </w:t>
      </w:r>
    </w:p>
    <w:p w14:paraId="3058A801" w14:textId="6206A2D6" w:rsidR="00302678" w:rsidRPr="00411842" w:rsidRDefault="00302678" w:rsidP="00302678">
      <w:pPr>
        <w:pStyle w:val="Default"/>
        <w:widowControl w:val="0"/>
        <w:numPr>
          <w:ilvl w:val="1"/>
          <w:numId w:val="5"/>
        </w:numPr>
        <w:spacing w:before="120" w:after="120"/>
        <w:ind w:left="426"/>
        <w:jc w:val="both"/>
        <w:rPr>
          <w:b/>
          <w:bCs/>
          <w:color w:val="auto"/>
          <w:sz w:val="22"/>
          <w:szCs w:val="22"/>
        </w:rPr>
      </w:pPr>
      <w:r w:rsidRPr="00411842">
        <w:rPr>
          <w:sz w:val="22"/>
          <w:szCs w:val="22"/>
        </w:rPr>
        <w:t xml:space="preserve">La ESE Hospital Regional Sur Oriental no someterá a reprocesamiento elementos utilizados por pacientes con enfermedades como tuberculosis pulmonar, AH1N1, VIH, hepatitis B, y otras enfermedades infectocontagiosas; estos dispositivos se deben desechar después de su primer uso y/o después de ser utilizado en cualquier número de </w:t>
      </w:r>
      <w:r w:rsidR="00411842" w:rsidRPr="00411842">
        <w:rPr>
          <w:sz w:val="22"/>
          <w:szCs w:val="22"/>
        </w:rPr>
        <w:t>reúso</w:t>
      </w:r>
      <w:r w:rsidRPr="00411842">
        <w:rPr>
          <w:sz w:val="22"/>
          <w:szCs w:val="22"/>
        </w:rPr>
        <w:t>.</w:t>
      </w:r>
    </w:p>
    <w:p w14:paraId="0DEC5EA2" w14:textId="77777777" w:rsidR="00302678" w:rsidRPr="00411842" w:rsidRDefault="00302678" w:rsidP="00302678">
      <w:pPr>
        <w:pStyle w:val="Default"/>
        <w:widowControl w:val="0"/>
        <w:spacing w:before="120" w:after="120"/>
        <w:jc w:val="both"/>
        <w:rPr>
          <w:b/>
          <w:bCs/>
          <w:color w:val="auto"/>
          <w:sz w:val="22"/>
          <w:szCs w:val="22"/>
        </w:rPr>
      </w:pPr>
    </w:p>
    <w:p w14:paraId="5490E8D5" w14:textId="1050FC51" w:rsidR="00302678" w:rsidRPr="00411842" w:rsidRDefault="00302678" w:rsidP="00302678">
      <w:pPr>
        <w:pStyle w:val="Default"/>
        <w:widowControl w:val="0"/>
        <w:spacing w:before="120" w:after="120"/>
        <w:jc w:val="both"/>
        <w:rPr>
          <w:color w:val="auto"/>
          <w:sz w:val="22"/>
          <w:szCs w:val="22"/>
        </w:rPr>
      </w:pPr>
      <w:r w:rsidRPr="00411842">
        <w:rPr>
          <w:b/>
          <w:bCs/>
          <w:color w:val="auto"/>
          <w:sz w:val="22"/>
          <w:szCs w:val="22"/>
        </w:rPr>
        <w:t xml:space="preserve">INDICADORES </w:t>
      </w:r>
    </w:p>
    <w:p w14:paraId="56411F20" w14:textId="77777777" w:rsidR="00302678" w:rsidRPr="00411842" w:rsidRDefault="00302678" w:rsidP="00302678">
      <w:pPr>
        <w:pStyle w:val="Default"/>
        <w:widowControl w:val="0"/>
        <w:spacing w:before="120" w:after="120"/>
        <w:jc w:val="both"/>
        <w:rPr>
          <w:color w:val="auto"/>
          <w:sz w:val="22"/>
          <w:szCs w:val="22"/>
        </w:rPr>
      </w:pPr>
      <w:r w:rsidRPr="00411842">
        <w:rPr>
          <w:b/>
          <w:bCs/>
          <w:color w:val="auto"/>
          <w:sz w:val="22"/>
          <w:szCs w:val="22"/>
        </w:rPr>
        <w:t xml:space="preserve">Cumplimiento a: </w:t>
      </w:r>
    </w:p>
    <w:p w14:paraId="0051B474" w14:textId="4DFCCCA3" w:rsidR="00302678" w:rsidRPr="00411842" w:rsidRDefault="00302678" w:rsidP="00302678">
      <w:pPr>
        <w:pStyle w:val="Default"/>
        <w:widowControl w:val="0"/>
        <w:numPr>
          <w:ilvl w:val="0"/>
          <w:numId w:val="6"/>
        </w:numPr>
        <w:spacing w:before="120" w:after="120"/>
        <w:ind w:left="0" w:firstLine="0"/>
        <w:jc w:val="both"/>
        <w:rPr>
          <w:color w:val="auto"/>
          <w:sz w:val="22"/>
          <w:szCs w:val="22"/>
        </w:rPr>
      </w:pPr>
      <w:r w:rsidRPr="00411842">
        <w:rPr>
          <w:color w:val="auto"/>
          <w:sz w:val="22"/>
          <w:szCs w:val="22"/>
        </w:rPr>
        <w:t>Programa de Bioseguridad Institucional</w:t>
      </w:r>
    </w:p>
    <w:p w14:paraId="7E2F21B5" w14:textId="643927DB" w:rsidR="00302678" w:rsidRPr="00411842" w:rsidRDefault="00302678" w:rsidP="00302678">
      <w:pPr>
        <w:pStyle w:val="Default"/>
        <w:widowControl w:val="0"/>
        <w:numPr>
          <w:ilvl w:val="0"/>
          <w:numId w:val="6"/>
        </w:numPr>
        <w:spacing w:before="120" w:after="120"/>
        <w:ind w:left="0" w:firstLine="0"/>
        <w:jc w:val="both"/>
        <w:rPr>
          <w:color w:val="auto"/>
          <w:sz w:val="22"/>
          <w:szCs w:val="22"/>
        </w:rPr>
      </w:pPr>
      <w:r w:rsidRPr="00411842">
        <w:rPr>
          <w:color w:val="auto"/>
          <w:sz w:val="22"/>
          <w:szCs w:val="22"/>
        </w:rPr>
        <w:lastRenderedPageBreak/>
        <w:t>Porcentaje de eventos Adversos</w:t>
      </w:r>
      <w:r w:rsidRPr="00411842">
        <w:rPr>
          <w:color w:val="auto"/>
          <w:sz w:val="22"/>
          <w:szCs w:val="22"/>
        </w:rPr>
        <w:t xml:space="preserve"> por </w:t>
      </w:r>
      <w:r w:rsidR="00411842" w:rsidRPr="00411842">
        <w:rPr>
          <w:color w:val="auto"/>
          <w:sz w:val="22"/>
          <w:szCs w:val="22"/>
        </w:rPr>
        <w:t>reúso</w:t>
      </w:r>
    </w:p>
    <w:p w14:paraId="12F584AE" w14:textId="40830ADB" w:rsidR="00411842" w:rsidRPr="00411842" w:rsidRDefault="00411842" w:rsidP="00302678">
      <w:pPr>
        <w:pStyle w:val="Default"/>
        <w:widowControl w:val="0"/>
        <w:numPr>
          <w:ilvl w:val="0"/>
          <w:numId w:val="6"/>
        </w:numPr>
        <w:spacing w:before="120" w:after="120"/>
        <w:ind w:left="0" w:firstLine="0"/>
        <w:jc w:val="both"/>
        <w:rPr>
          <w:color w:val="auto"/>
          <w:sz w:val="22"/>
          <w:szCs w:val="22"/>
        </w:rPr>
      </w:pPr>
      <w:r w:rsidRPr="00411842">
        <w:rPr>
          <w:color w:val="auto"/>
          <w:sz w:val="22"/>
          <w:szCs w:val="22"/>
        </w:rPr>
        <w:t>Publicación de listado de equipos y dispositivos médicos de no reúso</w:t>
      </w:r>
    </w:p>
    <w:p w14:paraId="517BCF76" w14:textId="6CA479E8" w:rsidR="00BC7509" w:rsidRPr="00411842" w:rsidRDefault="00411842" w:rsidP="00302678">
      <w:pPr>
        <w:pStyle w:val="Default"/>
        <w:widowControl w:val="0"/>
        <w:numPr>
          <w:ilvl w:val="0"/>
          <w:numId w:val="6"/>
        </w:numPr>
        <w:spacing w:before="120" w:after="120"/>
        <w:ind w:left="0" w:firstLine="0"/>
        <w:jc w:val="both"/>
        <w:rPr>
          <w:sz w:val="22"/>
          <w:szCs w:val="22"/>
        </w:rPr>
      </w:pPr>
      <w:r w:rsidRPr="00411842">
        <w:rPr>
          <w:color w:val="auto"/>
          <w:sz w:val="22"/>
          <w:szCs w:val="22"/>
        </w:rPr>
        <w:t>Publicación</w:t>
      </w:r>
      <w:r w:rsidRPr="00411842">
        <w:rPr>
          <w:color w:val="auto"/>
          <w:sz w:val="22"/>
          <w:szCs w:val="22"/>
        </w:rPr>
        <w:t xml:space="preserve"> de listado de equipos y dispositivos médicos de </w:t>
      </w:r>
      <w:r w:rsidRPr="00411842">
        <w:rPr>
          <w:color w:val="auto"/>
          <w:sz w:val="22"/>
          <w:szCs w:val="22"/>
        </w:rPr>
        <w:t>reúso</w:t>
      </w:r>
    </w:p>
    <w:sectPr w:rsidR="00BC7509" w:rsidRPr="00411842" w:rsidSect="005B7B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08E4" w14:textId="77777777" w:rsidR="00157491" w:rsidRDefault="00157491" w:rsidP="0086144E">
      <w:pPr>
        <w:spacing w:after="0" w:line="240" w:lineRule="auto"/>
      </w:pPr>
      <w:r>
        <w:separator/>
      </w:r>
    </w:p>
  </w:endnote>
  <w:endnote w:type="continuationSeparator" w:id="0">
    <w:p w14:paraId="4DF5F5B3" w14:textId="77777777" w:rsidR="00157491" w:rsidRDefault="00157491" w:rsidP="008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16"/>
      <w:gridCol w:w="3146"/>
      <w:gridCol w:w="3673"/>
    </w:tblGrid>
    <w:tr w:rsidR="0086144E" w:rsidRPr="00F036B4" w14:paraId="0D363A29"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B91CA68" w14:textId="77777777" w:rsidR="0086144E" w:rsidRPr="00F036B4" w:rsidRDefault="0086144E" w:rsidP="0086144E">
          <w:pPr>
            <w:ind w:left="-70"/>
            <w:rPr>
              <w:rFonts w:ascii="Arial" w:hAnsi="Arial" w:cs="Arial"/>
              <w:sz w:val="20"/>
              <w:szCs w:val="20"/>
            </w:rPr>
          </w:pPr>
          <w:bookmarkStart w:id="0" w:name="_Hlk134029528"/>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30EBA05" w14:textId="77777777" w:rsidR="0086144E" w:rsidRPr="00F036B4" w:rsidRDefault="0086144E" w:rsidP="0086144E">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7031B2C" w14:textId="77777777" w:rsidR="0086144E" w:rsidRPr="00F036B4" w:rsidRDefault="0086144E" w:rsidP="0086144E">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86144E" w:rsidRPr="00F036B4" w14:paraId="3BA9401F"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461DBD5" w14:textId="77777777" w:rsidR="0086144E" w:rsidRPr="00F036B4" w:rsidRDefault="0086144E" w:rsidP="0086144E">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93B6945" w14:textId="77777777" w:rsidR="0086144E" w:rsidRPr="00F036B4" w:rsidRDefault="0086144E" w:rsidP="0086144E">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74275AD" w14:textId="77777777" w:rsidR="0086144E" w:rsidRPr="00F036B4" w:rsidRDefault="0086144E" w:rsidP="0086144E">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bookmarkEnd w:id="0"/>
  <w:p w14:paraId="2D776A04" w14:textId="7D673252" w:rsidR="0086144E" w:rsidRDefault="0086144E">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3D0C" w14:textId="77777777" w:rsidR="00157491" w:rsidRDefault="00157491" w:rsidP="0086144E">
      <w:pPr>
        <w:spacing w:after="0" w:line="240" w:lineRule="auto"/>
      </w:pPr>
      <w:r>
        <w:separator/>
      </w:r>
    </w:p>
  </w:footnote>
  <w:footnote w:type="continuationSeparator" w:id="0">
    <w:p w14:paraId="5E5BB7AF" w14:textId="77777777" w:rsidR="00157491" w:rsidRDefault="00157491" w:rsidP="0086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295"/>
      <w:gridCol w:w="3239"/>
    </w:tblGrid>
    <w:tr w:rsidR="0086144E" w14:paraId="31BBCA2F"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4F51BFDF" w14:textId="77777777" w:rsidR="0086144E" w:rsidRDefault="0086144E" w:rsidP="0086144E">
          <w:pPr>
            <w:pStyle w:val="Encabezado"/>
            <w:spacing w:before="120" w:after="120"/>
            <w:jc w:val="center"/>
            <w:rPr>
              <w:b/>
            </w:rPr>
          </w:pPr>
          <w:r>
            <w:rPr>
              <w:b/>
              <w:noProof/>
              <w:lang w:eastAsia="es-CO"/>
            </w:rPr>
            <w:drawing>
              <wp:inline distT="0" distB="0" distL="0" distR="0" wp14:anchorId="62556A27" wp14:editId="01D63955">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0E3AADEC" w14:textId="49523B03" w:rsidR="0086144E" w:rsidRPr="00F65949" w:rsidRDefault="0086144E" w:rsidP="0086144E">
          <w:pPr>
            <w:pStyle w:val="Default"/>
            <w:spacing w:before="120" w:after="120"/>
            <w:jc w:val="center"/>
            <w:rPr>
              <w:b/>
              <w:bCs/>
            </w:rPr>
          </w:pPr>
          <w:r>
            <w:rPr>
              <w:b/>
              <w:bCs/>
              <w:color w:val="auto"/>
              <w:sz w:val="22"/>
              <w:szCs w:val="22"/>
            </w:rPr>
            <w:t xml:space="preserve">POLÍTICA </w:t>
          </w:r>
          <w:r w:rsidR="00302678">
            <w:rPr>
              <w:b/>
              <w:bCs/>
              <w:color w:val="auto"/>
              <w:sz w:val="22"/>
              <w:szCs w:val="22"/>
            </w:rPr>
            <w:t>NO REUSO</w:t>
          </w:r>
        </w:p>
      </w:tc>
      <w:tc>
        <w:tcPr>
          <w:tcW w:w="1542" w:type="pct"/>
          <w:tcBorders>
            <w:top w:val="single" w:sz="4" w:space="0" w:color="auto"/>
            <w:left w:val="single" w:sz="4" w:space="0" w:color="auto"/>
            <w:bottom w:val="single" w:sz="4" w:space="0" w:color="auto"/>
            <w:right w:val="single" w:sz="4" w:space="0" w:color="auto"/>
          </w:tcBorders>
          <w:vAlign w:val="center"/>
        </w:tcPr>
        <w:p w14:paraId="7C2EFD63" w14:textId="60C22517" w:rsidR="0086144E" w:rsidRPr="001E3AD7" w:rsidRDefault="0086144E" w:rsidP="0086144E">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sidR="00302678">
            <w:rPr>
              <w:rFonts w:ascii="Arial" w:hAnsi="Arial" w:cs="Arial"/>
              <w:b/>
            </w:rPr>
            <w:t>9</w:t>
          </w:r>
        </w:p>
      </w:tc>
    </w:tr>
    <w:tr w:rsidR="0086144E" w14:paraId="1C59F974"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0C48336F" w14:textId="77777777" w:rsidR="0086144E" w:rsidRDefault="0086144E" w:rsidP="0086144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48E9F24E" w14:textId="77777777" w:rsidR="0086144E" w:rsidRPr="001E3AD7" w:rsidRDefault="0086144E" w:rsidP="0086144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52017107" w14:textId="77777777" w:rsidR="0086144E" w:rsidRPr="001E3AD7" w:rsidRDefault="0086144E" w:rsidP="0086144E">
          <w:pPr>
            <w:pStyle w:val="Encabezado"/>
            <w:spacing w:before="120" w:after="120"/>
            <w:rPr>
              <w:rFonts w:ascii="Arial" w:hAnsi="Arial" w:cs="Arial"/>
              <w:b/>
            </w:rPr>
          </w:pPr>
          <w:r>
            <w:rPr>
              <w:rFonts w:ascii="Arial" w:hAnsi="Arial" w:cs="Arial"/>
              <w:b/>
            </w:rPr>
            <w:t>Versión: 01</w:t>
          </w:r>
        </w:p>
      </w:tc>
    </w:tr>
    <w:tr w:rsidR="0086144E" w14:paraId="5CD49498"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2C39DCC" w14:textId="77777777" w:rsidR="0086144E" w:rsidRDefault="0086144E" w:rsidP="0086144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5897FF6" w14:textId="77777777" w:rsidR="0086144E" w:rsidRPr="001E3AD7" w:rsidRDefault="0086144E" w:rsidP="0086144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66FEECF0" w14:textId="130B77EF" w:rsidR="0086144E" w:rsidRPr="001E3AD7" w:rsidRDefault="00411842" w:rsidP="0086144E">
          <w:pPr>
            <w:pStyle w:val="Encabezado"/>
            <w:spacing w:before="120" w:after="120"/>
            <w:rPr>
              <w:rFonts w:ascii="Arial" w:hAnsi="Arial" w:cs="Arial"/>
              <w:b/>
            </w:rPr>
          </w:pPr>
          <w:r w:rsidRPr="00411842">
            <w:rPr>
              <w:rFonts w:ascii="Arial" w:hAnsi="Arial" w:cs="Arial"/>
              <w:b/>
              <w:lang w:val="es-ES"/>
            </w:rPr>
            <w:t xml:space="preserve">Página </w:t>
          </w:r>
          <w:r w:rsidRPr="00411842">
            <w:rPr>
              <w:rFonts w:ascii="Arial" w:hAnsi="Arial" w:cs="Arial"/>
              <w:b/>
              <w:bCs/>
            </w:rPr>
            <w:fldChar w:fldCharType="begin"/>
          </w:r>
          <w:r w:rsidRPr="00411842">
            <w:rPr>
              <w:rFonts w:ascii="Arial" w:hAnsi="Arial" w:cs="Arial"/>
              <w:b/>
              <w:bCs/>
            </w:rPr>
            <w:instrText>PAGE  \* Arabic  \* MERGEFORMAT</w:instrText>
          </w:r>
          <w:r w:rsidRPr="00411842">
            <w:rPr>
              <w:rFonts w:ascii="Arial" w:hAnsi="Arial" w:cs="Arial"/>
              <w:b/>
              <w:bCs/>
            </w:rPr>
            <w:fldChar w:fldCharType="separate"/>
          </w:r>
          <w:r w:rsidRPr="00411842">
            <w:rPr>
              <w:rFonts w:ascii="Arial" w:hAnsi="Arial" w:cs="Arial"/>
              <w:b/>
              <w:bCs/>
              <w:lang w:val="es-ES"/>
            </w:rPr>
            <w:t>1</w:t>
          </w:r>
          <w:r w:rsidRPr="00411842">
            <w:rPr>
              <w:rFonts w:ascii="Arial" w:hAnsi="Arial" w:cs="Arial"/>
              <w:b/>
              <w:bCs/>
            </w:rPr>
            <w:fldChar w:fldCharType="end"/>
          </w:r>
          <w:r w:rsidRPr="00411842">
            <w:rPr>
              <w:rFonts w:ascii="Arial" w:hAnsi="Arial" w:cs="Arial"/>
              <w:b/>
              <w:lang w:val="es-ES"/>
            </w:rPr>
            <w:t xml:space="preserve"> de </w:t>
          </w:r>
          <w:r w:rsidRPr="00411842">
            <w:rPr>
              <w:rFonts w:ascii="Arial" w:hAnsi="Arial" w:cs="Arial"/>
              <w:b/>
              <w:bCs/>
            </w:rPr>
            <w:fldChar w:fldCharType="begin"/>
          </w:r>
          <w:r w:rsidRPr="00411842">
            <w:rPr>
              <w:rFonts w:ascii="Arial" w:hAnsi="Arial" w:cs="Arial"/>
              <w:b/>
              <w:bCs/>
            </w:rPr>
            <w:instrText>NUMPAGES  \* Arabic  \* MERGEFORMAT</w:instrText>
          </w:r>
          <w:r w:rsidRPr="00411842">
            <w:rPr>
              <w:rFonts w:ascii="Arial" w:hAnsi="Arial" w:cs="Arial"/>
              <w:b/>
              <w:bCs/>
            </w:rPr>
            <w:fldChar w:fldCharType="separate"/>
          </w:r>
          <w:r w:rsidRPr="00411842">
            <w:rPr>
              <w:rFonts w:ascii="Arial" w:hAnsi="Arial" w:cs="Arial"/>
              <w:b/>
              <w:bCs/>
              <w:lang w:val="es-ES"/>
            </w:rPr>
            <w:t>2</w:t>
          </w:r>
          <w:r w:rsidRPr="00411842">
            <w:rPr>
              <w:rFonts w:ascii="Arial" w:hAnsi="Arial" w:cs="Arial"/>
              <w:b/>
              <w:bCs/>
            </w:rPr>
            <w:fldChar w:fldCharType="end"/>
          </w:r>
        </w:p>
      </w:tc>
    </w:tr>
  </w:tbl>
  <w:p w14:paraId="25ABACC6" w14:textId="77777777" w:rsidR="0086144E" w:rsidRDefault="008614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3EA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F113A"/>
    <w:multiLevelType w:val="hybridMultilevel"/>
    <w:tmpl w:val="2B4EA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C1355B"/>
    <w:multiLevelType w:val="hybridMultilevel"/>
    <w:tmpl w:val="5B7AD6F8"/>
    <w:lvl w:ilvl="0" w:tplc="FFFFFFFF">
      <w:start w:val="1"/>
      <w:numFmt w:val="bullet"/>
      <w:lvlText w:val="•"/>
      <w:lvlJc w:val="left"/>
      <w:pPr>
        <w:ind w:left="1080" w:hanging="360"/>
      </w:p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567217C2"/>
    <w:multiLevelType w:val="hybridMultilevel"/>
    <w:tmpl w:val="CF5C8380"/>
    <w:lvl w:ilvl="0" w:tplc="FFFFFFFF">
      <w:start w:val="1"/>
      <w:numFmt w:val="decimal"/>
      <w:lvlText w:val="%1."/>
      <w:lvlJc w:val="left"/>
      <w:pPr>
        <w:ind w:left="720" w:hanging="360"/>
      </w:pPr>
    </w:lvl>
    <w:lvl w:ilvl="1" w:tplc="24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45371F"/>
    <w:multiLevelType w:val="hybridMultilevel"/>
    <w:tmpl w:val="AA9E1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1287D40"/>
    <w:multiLevelType w:val="hybridMultilevel"/>
    <w:tmpl w:val="8DC6915A"/>
    <w:lvl w:ilvl="0" w:tplc="240A0001">
      <w:start w:val="1"/>
      <w:numFmt w:val="bullet"/>
      <w:lvlText w:val=""/>
      <w:lvlJc w:val="left"/>
      <w:pPr>
        <w:ind w:left="720" w:hanging="360"/>
      </w:pPr>
      <w:rPr>
        <w:rFonts w:ascii="Symbol" w:hAnsi="Symbol" w:hint="default"/>
      </w:rPr>
    </w:lvl>
    <w:lvl w:ilvl="1" w:tplc="C6229B52">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BB700A"/>
    <w:multiLevelType w:val="hybridMultilevel"/>
    <w:tmpl w:val="47F62250"/>
    <w:lvl w:ilvl="0" w:tplc="EF180D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14132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9143A7"/>
    <w:multiLevelType w:val="hybridMultilevel"/>
    <w:tmpl w:val="34A407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64919467">
    <w:abstractNumId w:val="8"/>
  </w:num>
  <w:num w:numId="2" w16cid:durableId="736127544">
    <w:abstractNumId w:val="0"/>
  </w:num>
  <w:num w:numId="3" w16cid:durableId="1360281188">
    <w:abstractNumId w:val="3"/>
  </w:num>
  <w:num w:numId="4" w16cid:durableId="729382289">
    <w:abstractNumId w:val="2"/>
  </w:num>
  <w:num w:numId="5" w16cid:durableId="1449738562">
    <w:abstractNumId w:val="6"/>
  </w:num>
  <w:num w:numId="6" w16cid:durableId="934705539">
    <w:abstractNumId w:val="5"/>
  </w:num>
  <w:num w:numId="7" w16cid:durableId="2064399638">
    <w:abstractNumId w:val="7"/>
  </w:num>
  <w:num w:numId="8" w16cid:durableId="2041393601">
    <w:abstractNumId w:val="9"/>
  </w:num>
  <w:num w:numId="9" w16cid:durableId="551186605">
    <w:abstractNumId w:val="4"/>
  </w:num>
  <w:num w:numId="10" w16cid:durableId="1969897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09"/>
    <w:rsid w:val="00157491"/>
    <w:rsid w:val="00302678"/>
    <w:rsid w:val="00411842"/>
    <w:rsid w:val="005B7BA6"/>
    <w:rsid w:val="00686A84"/>
    <w:rsid w:val="006D3C7B"/>
    <w:rsid w:val="0086144E"/>
    <w:rsid w:val="00BC7509"/>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F9D6"/>
  <w15:chartTrackingRefBased/>
  <w15:docId w15:val="{D763B6A8-9947-46A0-8B2A-B055DD5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750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614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144E"/>
  </w:style>
  <w:style w:type="paragraph" w:styleId="Piedepgina">
    <w:name w:val="footer"/>
    <w:basedOn w:val="Normal"/>
    <w:link w:val="PiedepginaCar"/>
    <w:uiPriority w:val="99"/>
    <w:unhideWhenUsed/>
    <w:rsid w:val="008614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2023-05-04T15:52:00Z</dcterms:created>
  <dcterms:modified xsi:type="dcterms:W3CDTF">2023-05-04T16:06:00Z</dcterms:modified>
</cp:coreProperties>
</file>