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A4AB" w14:textId="50605ED3" w:rsidR="00F256DB" w:rsidRDefault="00F256DB" w:rsidP="00F256DB">
      <w:pPr>
        <w:pStyle w:val="Default"/>
        <w:spacing w:before="120" w:after="120"/>
        <w:jc w:val="center"/>
        <w:rPr>
          <w:b/>
          <w:bCs/>
          <w:sz w:val="22"/>
          <w:szCs w:val="22"/>
        </w:rPr>
      </w:pPr>
      <w:r>
        <w:rPr>
          <w:b/>
          <w:bCs/>
          <w:sz w:val="22"/>
          <w:szCs w:val="22"/>
        </w:rPr>
        <w:t>POLÍTICA DE SEGUIMIENTO Y EVALUACIÓN DEL DESEMPEÑO INSTITUCIONAL</w:t>
      </w:r>
    </w:p>
    <w:p w14:paraId="76346F5B" w14:textId="77777777" w:rsidR="00F256DB" w:rsidRDefault="00F256DB" w:rsidP="00F256DB">
      <w:pPr>
        <w:pStyle w:val="Default"/>
        <w:spacing w:before="120" w:after="120"/>
        <w:jc w:val="both"/>
        <w:rPr>
          <w:sz w:val="22"/>
          <w:szCs w:val="22"/>
        </w:rPr>
      </w:pPr>
    </w:p>
    <w:p w14:paraId="569A10B2" w14:textId="099CF16F" w:rsidR="00F256DB" w:rsidRDefault="00F256DB" w:rsidP="00F256DB">
      <w:pPr>
        <w:pStyle w:val="Default"/>
        <w:spacing w:before="120" w:after="120"/>
        <w:jc w:val="both"/>
        <w:rPr>
          <w:sz w:val="22"/>
          <w:szCs w:val="22"/>
        </w:rPr>
      </w:pPr>
      <w:r>
        <w:rPr>
          <w:sz w:val="22"/>
          <w:szCs w:val="22"/>
        </w:rPr>
        <w:t xml:space="preserve">El Gerente de la Empresa Social del Estado Hospital </w:t>
      </w:r>
      <w:r w:rsidR="004E7B17">
        <w:rPr>
          <w:sz w:val="22"/>
          <w:szCs w:val="22"/>
        </w:rPr>
        <w:t>Santa Isabel</w:t>
      </w:r>
      <w:r>
        <w:rPr>
          <w:sz w:val="22"/>
          <w:szCs w:val="22"/>
        </w:rPr>
        <w:t xml:space="preserve"> y sus colaboradores se comprometen a evaluar el desempeño laboral de los colaboradores bajo los criterios e instrumentos establecidos en la Organización, cumpliendo con la normatividad legal vigente, orientando la toma de decisiones relacionadas con la permanencia, ascenso y retiro del servicio, retroalimentando a los grupos de interés así como acciones de mejoramiento individual e institucional, aplicando metodologías de implementación de modelos de seguimiento y evaluación y generando una cultura de la gestión pública orientada a resultados que conlleve a una administración pública efectiva, eficaz y de calidad. </w:t>
      </w:r>
    </w:p>
    <w:p w14:paraId="3DCF3D31" w14:textId="77777777" w:rsidR="00F256DB" w:rsidRDefault="00F256DB" w:rsidP="00F256DB">
      <w:pPr>
        <w:pStyle w:val="Default"/>
        <w:spacing w:before="120" w:after="120"/>
        <w:jc w:val="both"/>
        <w:rPr>
          <w:b/>
          <w:bCs/>
          <w:sz w:val="22"/>
          <w:szCs w:val="22"/>
        </w:rPr>
      </w:pPr>
    </w:p>
    <w:p w14:paraId="6F7F5347" w14:textId="54A0F476" w:rsidR="00F256DB" w:rsidRDefault="00F256DB" w:rsidP="00F256DB">
      <w:pPr>
        <w:pStyle w:val="Default"/>
        <w:spacing w:before="120" w:after="120"/>
        <w:jc w:val="both"/>
        <w:rPr>
          <w:sz w:val="22"/>
          <w:szCs w:val="22"/>
        </w:rPr>
      </w:pPr>
      <w:r>
        <w:rPr>
          <w:b/>
          <w:bCs/>
          <w:sz w:val="22"/>
          <w:szCs w:val="22"/>
        </w:rPr>
        <w:t xml:space="preserve">VALORES </w:t>
      </w:r>
    </w:p>
    <w:p w14:paraId="5A1CA58E" w14:textId="1C0B678D" w:rsidR="00F256DB" w:rsidRPr="00F256DB" w:rsidRDefault="00F256DB" w:rsidP="00F256DB">
      <w:pPr>
        <w:pStyle w:val="Default"/>
        <w:numPr>
          <w:ilvl w:val="0"/>
          <w:numId w:val="3"/>
        </w:numPr>
        <w:spacing w:before="120" w:after="120"/>
        <w:ind w:left="360"/>
        <w:jc w:val="both"/>
        <w:rPr>
          <w:sz w:val="22"/>
          <w:szCs w:val="22"/>
        </w:rPr>
      </w:pPr>
      <w:r w:rsidRPr="00F256DB">
        <w:rPr>
          <w:sz w:val="22"/>
          <w:szCs w:val="22"/>
        </w:rPr>
        <w:t>Calidad</w:t>
      </w:r>
    </w:p>
    <w:p w14:paraId="7C9055E0" w14:textId="06601889" w:rsidR="00F256DB" w:rsidRDefault="00F256DB" w:rsidP="00F256DB">
      <w:pPr>
        <w:pStyle w:val="Default"/>
        <w:numPr>
          <w:ilvl w:val="0"/>
          <w:numId w:val="3"/>
        </w:numPr>
        <w:spacing w:before="120" w:after="120"/>
        <w:ind w:left="360"/>
        <w:jc w:val="both"/>
        <w:rPr>
          <w:sz w:val="22"/>
          <w:szCs w:val="22"/>
        </w:rPr>
      </w:pPr>
      <w:r w:rsidRPr="00F256DB">
        <w:rPr>
          <w:sz w:val="22"/>
          <w:szCs w:val="22"/>
        </w:rPr>
        <w:t>Eficiencia</w:t>
      </w:r>
    </w:p>
    <w:p w14:paraId="2F99F68B" w14:textId="26B0325D" w:rsidR="00F256DB" w:rsidRDefault="00F256DB" w:rsidP="00F256DB">
      <w:pPr>
        <w:pStyle w:val="Default"/>
        <w:numPr>
          <w:ilvl w:val="0"/>
          <w:numId w:val="3"/>
        </w:numPr>
        <w:spacing w:before="120" w:after="120"/>
        <w:ind w:left="360"/>
        <w:jc w:val="both"/>
        <w:rPr>
          <w:sz w:val="22"/>
          <w:szCs w:val="22"/>
        </w:rPr>
      </w:pPr>
      <w:r>
        <w:rPr>
          <w:sz w:val="22"/>
          <w:szCs w:val="22"/>
        </w:rPr>
        <w:t>Equidad</w:t>
      </w:r>
    </w:p>
    <w:p w14:paraId="5088F0A0" w14:textId="4F089EAD" w:rsidR="00F256DB" w:rsidRDefault="00F256DB" w:rsidP="00F256DB">
      <w:pPr>
        <w:pStyle w:val="Default"/>
        <w:numPr>
          <w:ilvl w:val="0"/>
          <w:numId w:val="3"/>
        </w:numPr>
        <w:spacing w:before="120" w:after="120"/>
        <w:ind w:left="360"/>
        <w:jc w:val="both"/>
        <w:rPr>
          <w:sz w:val="22"/>
          <w:szCs w:val="22"/>
        </w:rPr>
      </w:pPr>
      <w:r>
        <w:rPr>
          <w:sz w:val="22"/>
          <w:szCs w:val="22"/>
        </w:rPr>
        <w:t>Compromiso</w:t>
      </w:r>
    </w:p>
    <w:p w14:paraId="18BC2AF7" w14:textId="6589EDA9" w:rsidR="00F256DB" w:rsidRPr="00F256DB" w:rsidRDefault="00F256DB" w:rsidP="00F256DB">
      <w:pPr>
        <w:pStyle w:val="Default"/>
        <w:numPr>
          <w:ilvl w:val="0"/>
          <w:numId w:val="3"/>
        </w:numPr>
        <w:spacing w:before="120" w:after="120"/>
        <w:ind w:left="360"/>
        <w:jc w:val="both"/>
        <w:rPr>
          <w:sz w:val="22"/>
          <w:szCs w:val="22"/>
        </w:rPr>
      </w:pPr>
      <w:r>
        <w:rPr>
          <w:sz w:val="22"/>
          <w:szCs w:val="22"/>
        </w:rPr>
        <w:t>Sentido de Pertenencia</w:t>
      </w:r>
    </w:p>
    <w:p w14:paraId="7141DA49" w14:textId="77777777" w:rsidR="00F256DB" w:rsidRDefault="00F256DB" w:rsidP="00F256DB">
      <w:pPr>
        <w:pStyle w:val="Default"/>
        <w:spacing w:before="120" w:after="120"/>
        <w:jc w:val="both"/>
        <w:rPr>
          <w:b/>
          <w:bCs/>
          <w:sz w:val="22"/>
          <w:szCs w:val="22"/>
        </w:rPr>
      </w:pPr>
    </w:p>
    <w:p w14:paraId="040831D4" w14:textId="3AC34BDB" w:rsidR="00F256DB" w:rsidRDefault="00F256DB" w:rsidP="00F256DB">
      <w:pPr>
        <w:pStyle w:val="Default"/>
        <w:spacing w:before="120" w:after="120"/>
        <w:jc w:val="both"/>
        <w:rPr>
          <w:sz w:val="22"/>
          <w:szCs w:val="22"/>
        </w:rPr>
      </w:pPr>
      <w:r>
        <w:rPr>
          <w:b/>
          <w:bCs/>
          <w:sz w:val="22"/>
          <w:szCs w:val="22"/>
        </w:rPr>
        <w:t xml:space="preserve">PRINCIPIOS </w:t>
      </w:r>
    </w:p>
    <w:p w14:paraId="5AD1C54D" w14:textId="77777777" w:rsidR="00F256DB" w:rsidRDefault="00F256DB" w:rsidP="00F256DB">
      <w:pPr>
        <w:pStyle w:val="Default"/>
        <w:numPr>
          <w:ilvl w:val="0"/>
          <w:numId w:val="1"/>
        </w:numPr>
        <w:spacing w:before="120" w:after="120"/>
        <w:ind w:left="360"/>
        <w:jc w:val="both"/>
        <w:rPr>
          <w:sz w:val="22"/>
          <w:szCs w:val="22"/>
        </w:rPr>
      </w:pPr>
      <w:r>
        <w:rPr>
          <w:sz w:val="22"/>
          <w:szCs w:val="22"/>
        </w:rPr>
        <w:t>Humanismo</w:t>
      </w:r>
    </w:p>
    <w:p w14:paraId="3C8B1003" w14:textId="77777777" w:rsidR="00F256DB" w:rsidRDefault="00F256DB" w:rsidP="00F256DB">
      <w:pPr>
        <w:pStyle w:val="Default"/>
        <w:numPr>
          <w:ilvl w:val="0"/>
          <w:numId w:val="1"/>
        </w:numPr>
        <w:spacing w:before="120" w:after="120"/>
        <w:ind w:left="360"/>
        <w:jc w:val="both"/>
        <w:rPr>
          <w:sz w:val="22"/>
          <w:szCs w:val="22"/>
        </w:rPr>
      </w:pPr>
      <w:r>
        <w:rPr>
          <w:sz w:val="22"/>
          <w:szCs w:val="22"/>
        </w:rPr>
        <w:t>Responsabilidad</w:t>
      </w:r>
    </w:p>
    <w:p w14:paraId="3DF2124A" w14:textId="77777777" w:rsidR="00F256DB" w:rsidRDefault="00F256DB" w:rsidP="00F256DB">
      <w:pPr>
        <w:pStyle w:val="Default"/>
        <w:numPr>
          <w:ilvl w:val="0"/>
          <w:numId w:val="1"/>
        </w:numPr>
        <w:spacing w:before="120" w:after="120"/>
        <w:ind w:left="360"/>
        <w:jc w:val="both"/>
        <w:rPr>
          <w:sz w:val="22"/>
          <w:szCs w:val="22"/>
        </w:rPr>
      </w:pPr>
      <w:r>
        <w:rPr>
          <w:sz w:val="22"/>
          <w:szCs w:val="22"/>
        </w:rPr>
        <w:t>Excelencia</w:t>
      </w:r>
    </w:p>
    <w:p w14:paraId="6C1FFD53" w14:textId="77777777" w:rsidR="00F256DB" w:rsidRDefault="00F256DB" w:rsidP="00F256DB">
      <w:pPr>
        <w:pStyle w:val="Default"/>
        <w:spacing w:before="120" w:after="120"/>
        <w:jc w:val="both"/>
        <w:rPr>
          <w:sz w:val="22"/>
          <w:szCs w:val="22"/>
        </w:rPr>
      </w:pPr>
    </w:p>
    <w:p w14:paraId="22465ADB" w14:textId="77777777" w:rsidR="00F256DB" w:rsidRDefault="00F256DB" w:rsidP="00F256DB">
      <w:pPr>
        <w:pStyle w:val="Default"/>
        <w:spacing w:before="120" w:after="120"/>
        <w:jc w:val="both"/>
        <w:rPr>
          <w:sz w:val="22"/>
          <w:szCs w:val="22"/>
        </w:rPr>
      </w:pPr>
      <w:r>
        <w:rPr>
          <w:b/>
          <w:bCs/>
          <w:sz w:val="22"/>
          <w:szCs w:val="22"/>
        </w:rPr>
        <w:t xml:space="preserve">OBJETIVOS DE LA POLÍTICA </w:t>
      </w:r>
    </w:p>
    <w:p w14:paraId="00184739" w14:textId="3A55C1A3" w:rsidR="00F256DB" w:rsidRDefault="00F256DB" w:rsidP="00F256DB">
      <w:pPr>
        <w:pStyle w:val="Default"/>
        <w:numPr>
          <w:ilvl w:val="0"/>
          <w:numId w:val="5"/>
        </w:numPr>
        <w:spacing w:before="120" w:after="120"/>
        <w:ind w:left="360"/>
        <w:jc w:val="both"/>
        <w:rPr>
          <w:sz w:val="22"/>
          <w:szCs w:val="22"/>
        </w:rPr>
      </w:pPr>
      <w:r>
        <w:rPr>
          <w:sz w:val="22"/>
          <w:szCs w:val="22"/>
        </w:rPr>
        <w:t xml:space="preserve">Evaluar el desempeño laboral de los colaboradores bajo los criterios e instrumentos establecidos en la Organización </w:t>
      </w:r>
    </w:p>
    <w:p w14:paraId="3E710A02" w14:textId="48B79A9C" w:rsidR="00F256DB" w:rsidRDefault="00F256DB" w:rsidP="00F256DB">
      <w:pPr>
        <w:pStyle w:val="Default"/>
        <w:numPr>
          <w:ilvl w:val="0"/>
          <w:numId w:val="5"/>
        </w:numPr>
        <w:spacing w:before="120" w:after="120"/>
        <w:ind w:left="360"/>
        <w:jc w:val="both"/>
        <w:rPr>
          <w:sz w:val="22"/>
          <w:szCs w:val="22"/>
        </w:rPr>
      </w:pPr>
      <w:r>
        <w:rPr>
          <w:sz w:val="22"/>
          <w:szCs w:val="22"/>
        </w:rPr>
        <w:t xml:space="preserve">Cumplir con la normatividad legal vigente </w:t>
      </w:r>
    </w:p>
    <w:p w14:paraId="1199C054" w14:textId="46B337D3" w:rsidR="00F256DB" w:rsidRDefault="00F256DB" w:rsidP="00F256DB">
      <w:pPr>
        <w:pStyle w:val="Default"/>
        <w:numPr>
          <w:ilvl w:val="0"/>
          <w:numId w:val="5"/>
        </w:numPr>
        <w:spacing w:before="120" w:after="120"/>
        <w:ind w:left="360"/>
        <w:jc w:val="both"/>
        <w:rPr>
          <w:sz w:val="22"/>
          <w:szCs w:val="22"/>
        </w:rPr>
      </w:pPr>
      <w:r>
        <w:rPr>
          <w:sz w:val="22"/>
          <w:szCs w:val="22"/>
        </w:rPr>
        <w:t xml:space="preserve">Orientar la toma de decisiones relacionadas con la permanencia, ascenso y retiro del servicio, retroalimentando a los grupos de interés así como acciones de mejoramiento individual e institucional </w:t>
      </w:r>
    </w:p>
    <w:p w14:paraId="52741036" w14:textId="64717BBB" w:rsidR="00F256DB" w:rsidRDefault="00F256DB" w:rsidP="00F256DB">
      <w:pPr>
        <w:pStyle w:val="Default"/>
        <w:numPr>
          <w:ilvl w:val="0"/>
          <w:numId w:val="5"/>
        </w:numPr>
        <w:spacing w:before="120" w:after="120"/>
        <w:ind w:left="360"/>
        <w:jc w:val="both"/>
        <w:rPr>
          <w:sz w:val="22"/>
          <w:szCs w:val="22"/>
        </w:rPr>
      </w:pPr>
      <w:r>
        <w:rPr>
          <w:sz w:val="22"/>
          <w:szCs w:val="22"/>
        </w:rPr>
        <w:t xml:space="preserve">Aplicar metodologías de implementación de modelos de seguimiento y evaluación </w:t>
      </w:r>
    </w:p>
    <w:p w14:paraId="499EBC36" w14:textId="70A4AC37" w:rsidR="00F256DB" w:rsidRDefault="00F256DB" w:rsidP="00F256DB">
      <w:pPr>
        <w:pStyle w:val="Default"/>
        <w:numPr>
          <w:ilvl w:val="0"/>
          <w:numId w:val="5"/>
        </w:numPr>
        <w:spacing w:before="120" w:after="120"/>
        <w:ind w:left="360"/>
        <w:jc w:val="both"/>
        <w:rPr>
          <w:sz w:val="22"/>
          <w:szCs w:val="22"/>
        </w:rPr>
      </w:pPr>
      <w:r>
        <w:rPr>
          <w:sz w:val="22"/>
          <w:szCs w:val="22"/>
        </w:rPr>
        <w:t xml:space="preserve">Generar una cultura de la gestión pública orientada a resultados que conlleve a una administración pública efectiva, eficaz y de calidad. </w:t>
      </w:r>
    </w:p>
    <w:p w14:paraId="69A7403A" w14:textId="77777777" w:rsidR="00F256DB" w:rsidRDefault="00F256DB" w:rsidP="00F256DB">
      <w:pPr>
        <w:pStyle w:val="Default"/>
        <w:spacing w:before="120" w:after="120"/>
        <w:jc w:val="both"/>
        <w:rPr>
          <w:sz w:val="22"/>
          <w:szCs w:val="22"/>
        </w:rPr>
      </w:pPr>
    </w:p>
    <w:p w14:paraId="5057DE64" w14:textId="77777777" w:rsidR="00F256DB" w:rsidRDefault="00F256DB" w:rsidP="00F256DB">
      <w:pPr>
        <w:pStyle w:val="Default"/>
        <w:spacing w:before="120" w:after="120"/>
        <w:jc w:val="both"/>
        <w:rPr>
          <w:sz w:val="22"/>
          <w:szCs w:val="22"/>
        </w:rPr>
      </w:pPr>
      <w:r>
        <w:rPr>
          <w:b/>
          <w:bCs/>
          <w:sz w:val="22"/>
          <w:szCs w:val="22"/>
        </w:rPr>
        <w:t xml:space="preserve">INDICADORES </w:t>
      </w:r>
    </w:p>
    <w:p w14:paraId="55FB7CB1" w14:textId="77777777" w:rsidR="00F256DB" w:rsidRDefault="00F256DB" w:rsidP="00F256DB">
      <w:pPr>
        <w:pStyle w:val="Default"/>
        <w:spacing w:before="120" w:after="120"/>
        <w:jc w:val="both"/>
        <w:rPr>
          <w:sz w:val="22"/>
          <w:szCs w:val="22"/>
        </w:rPr>
      </w:pPr>
      <w:r>
        <w:rPr>
          <w:b/>
          <w:bCs/>
          <w:sz w:val="22"/>
          <w:szCs w:val="22"/>
        </w:rPr>
        <w:lastRenderedPageBreak/>
        <w:t xml:space="preserve">Cumplimiento a: </w:t>
      </w:r>
    </w:p>
    <w:p w14:paraId="2BEB6E64" w14:textId="5CBABDC0" w:rsidR="00F256DB" w:rsidRDefault="00F256DB" w:rsidP="00F256DB">
      <w:pPr>
        <w:pStyle w:val="Default"/>
        <w:numPr>
          <w:ilvl w:val="0"/>
          <w:numId w:val="1"/>
        </w:numPr>
        <w:spacing w:before="120" w:after="120"/>
        <w:ind w:left="360"/>
        <w:jc w:val="both"/>
        <w:rPr>
          <w:sz w:val="22"/>
          <w:szCs w:val="22"/>
        </w:rPr>
      </w:pPr>
      <w:r>
        <w:rPr>
          <w:sz w:val="22"/>
          <w:szCs w:val="22"/>
        </w:rPr>
        <w:t xml:space="preserve">Participación ciudadana y de grupos de interés </w:t>
      </w:r>
    </w:p>
    <w:p w14:paraId="1A70FD5B" w14:textId="74B1D46A" w:rsidR="004E7B17" w:rsidRDefault="004E7B17" w:rsidP="00F256DB">
      <w:pPr>
        <w:pStyle w:val="Default"/>
        <w:numPr>
          <w:ilvl w:val="0"/>
          <w:numId w:val="1"/>
        </w:numPr>
        <w:spacing w:before="120" w:after="120"/>
        <w:ind w:left="360"/>
        <w:jc w:val="both"/>
        <w:rPr>
          <w:sz w:val="22"/>
          <w:szCs w:val="22"/>
        </w:rPr>
      </w:pPr>
      <w:r>
        <w:rPr>
          <w:sz w:val="22"/>
          <w:szCs w:val="22"/>
        </w:rPr>
        <w:t>Cumplimiento indicadores de gestión resolución 408 de 2015</w:t>
      </w:r>
    </w:p>
    <w:p w14:paraId="509B2537" w14:textId="3E092CC5" w:rsidR="004E7B17" w:rsidRDefault="004E7B17" w:rsidP="00F256DB">
      <w:pPr>
        <w:pStyle w:val="Default"/>
        <w:numPr>
          <w:ilvl w:val="0"/>
          <w:numId w:val="1"/>
        </w:numPr>
        <w:spacing w:before="120" w:after="120"/>
        <w:ind w:left="360"/>
        <w:jc w:val="both"/>
        <w:rPr>
          <w:sz w:val="22"/>
          <w:szCs w:val="22"/>
        </w:rPr>
      </w:pPr>
      <w:r>
        <w:rPr>
          <w:sz w:val="22"/>
          <w:szCs w:val="22"/>
        </w:rPr>
        <w:t>Cumplimiento indicadores calidad resolución 256 de 2014</w:t>
      </w:r>
    </w:p>
    <w:p w14:paraId="13BD45C6" w14:textId="074F22C0" w:rsidR="004E7B17" w:rsidRDefault="004E7B17" w:rsidP="00F256DB">
      <w:pPr>
        <w:pStyle w:val="Default"/>
        <w:numPr>
          <w:ilvl w:val="0"/>
          <w:numId w:val="1"/>
        </w:numPr>
        <w:spacing w:before="120" w:after="120"/>
        <w:ind w:left="360"/>
        <w:jc w:val="both"/>
        <w:rPr>
          <w:sz w:val="22"/>
          <w:szCs w:val="22"/>
        </w:rPr>
      </w:pPr>
      <w:r>
        <w:rPr>
          <w:sz w:val="22"/>
          <w:szCs w:val="22"/>
        </w:rPr>
        <w:t>Cumplimiento indicadores de Seguridad del Paciente</w:t>
      </w:r>
    </w:p>
    <w:p w14:paraId="2732F6EF" w14:textId="15CE32D1" w:rsidR="004E7B17" w:rsidRDefault="004E7B17" w:rsidP="00F256DB">
      <w:pPr>
        <w:pStyle w:val="Default"/>
        <w:numPr>
          <w:ilvl w:val="0"/>
          <w:numId w:val="1"/>
        </w:numPr>
        <w:spacing w:before="120" w:after="120"/>
        <w:ind w:left="360"/>
        <w:jc w:val="both"/>
        <w:rPr>
          <w:sz w:val="22"/>
          <w:szCs w:val="22"/>
        </w:rPr>
      </w:pPr>
      <w:r>
        <w:rPr>
          <w:sz w:val="22"/>
          <w:szCs w:val="22"/>
        </w:rPr>
        <w:t>Cumplimiento indicadores FENIX y GAUDI que le sean aplicables</w:t>
      </w:r>
    </w:p>
    <w:p w14:paraId="2945C400" w14:textId="79B0DA1B" w:rsidR="004E7B17" w:rsidRDefault="004E7B17" w:rsidP="00F256DB">
      <w:pPr>
        <w:pStyle w:val="Default"/>
        <w:numPr>
          <w:ilvl w:val="0"/>
          <w:numId w:val="1"/>
        </w:numPr>
        <w:spacing w:before="120" w:after="120"/>
        <w:ind w:left="360"/>
        <w:jc w:val="both"/>
        <w:rPr>
          <w:sz w:val="22"/>
          <w:szCs w:val="22"/>
        </w:rPr>
      </w:pPr>
      <w:r>
        <w:rPr>
          <w:sz w:val="22"/>
          <w:szCs w:val="22"/>
        </w:rPr>
        <w:t>Cumplimiento indicadores cobertura</w:t>
      </w:r>
    </w:p>
    <w:p w14:paraId="1CF6C4A3" w14:textId="6F7BA118" w:rsidR="004E7B17" w:rsidRDefault="004E7B17" w:rsidP="004E7B17">
      <w:pPr>
        <w:pStyle w:val="Default"/>
        <w:numPr>
          <w:ilvl w:val="0"/>
          <w:numId w:val="1"/>
        </w:numPr>
        <w:spacing w:before="120" w:after="120"/>
        <w:ind w:left="360"/>
        <w:jc w:val="both"/>
        <w:rPr>
          <w:sz w:val="22"/>
          <w:szCs w:val="22"/>
        </w:rPr>
      </w:pPr>
      <w:r>
        <w:rPr>
          <w:sz w:val="22"/>
          <w:szCs w:val="22"/>
        </w:rPr>
        <w:t>Cumplimiento indicadores oportunidad</w:t>
      </w:r>
    </w:p>
    <w:p w14:paraId="51D2E635" w14:textId="55AFEE48" w:rsidR="004E7B17" w:rsidRDefault="004E7B17" w:rsidP="004E7B17">
      <w:pPr>
        <w:pStyle w:val="Default"/>
        <w:numPr>
          <w:ilvl w:val="0"/>
          <w:numId w:val="1"/>
        </w:numPr>
        <w:spacing w:before="120" w:after="120"/>
        <w:ind w:left="360"/>
        <w:jc w:val="both"/>
        <w:rPr>
          <w:sz w:val="22"/>
          <w:szCs w:val="22"/>
        </w:rPr>
      </w:pPr>
      <w:r>
        <w:rPr>
          <w:sz w:val="22"/>
          <w:szCs w:val="22"/>
        </w:rPr>
        <w:t>Cumplimiento indicadores FURAG</w:t>
      </w:r>
    </w:p>
    <w:p w14:paraId="32CFE66B" w14:textId="50AD5855" w:rsidR="004E7B17" w:rsidRPr="004E7B17" w:rsidRDefault="004E7B17" w:rsidP="004E7B17">
      <w:pPr>
        <w:pStyle w:val="Default"/>
        <w:numPr>
          <w:ilvl w:val="0"/>
          <w:numId w:val="1"/>
        </w:numPr>
        <w:spacing w:before="120" w:after="120"/>
        <w:ind w:left="360"/>
        <w:jc w:val="both"/>
        <w:rPr>
          <w:sz w:val="22"/>
          <w:szCs w:val="22"/>
        </w:rPr>
      </w:pPr>
      <w:r>
        <w:rPr>
          <w:sz w:val="22"/>
          <w:szCs w:val="22"/>
        </w:rPr>
        <w:t xml:space="preserve">Cumplimiento indicadores </w:t>
      </w:r>
      <w:proofErr w:type="spellStart"/>
      <w:r>
        <w:rPr>
          <w:sz w:val="22"/>
          <w:szCs w:val="22"/>
        </w:rPr>
        <w:t>Auditorias</w:t>
      </w:r>
      <w:proofErr w:type="spellEnd"/>
      <w:r>
        <w:rPr>
          <w:sz w:val="22"/>
          <w:szCs w:val="22"/>
        </w:rPr>
        <w:t xml:space="preserve"> Externas EAPB</w:t>
      </w:r>
    </w:p>
    <w:p w14:paraId="4ED45A4F" w14:textId="77777777" w:rsidR="00CE091D" w:rsidRDefault="00CE091D" w:rsidP="00F256DB">
      <w:pPr>
        <w:spacing w:before="120" w:after="120" w:line="240" w:lineRule="auto"/>
        <w:jc w:val="both"/>
      </w:pPr>
    </w:p>
    <w:sectPr w:rsidR="00CE091D" w:rsidSect="00E339DA">
      <w:headerReference w:type="default" r:id="rId7"/>
      <w:footerReference w:type="default" r:id="rId8"/>
      <w:pgSz w:w="12240" w:h="16340"/>
      <w:pgMar w:top="740" w:right="1260" w:bottom="1394"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AC33" w14:textId="77777777" w:rsidR="001E3A94" w:rsidRDefault="001E3A94" w:rsidP="004E7B17">
      <w:pPr>
        <w:spacing w:after="0" w:line="240" w:lineRule="auto"/>
      </w:pPr>
      <w:r>
        <w:separator/>
      </w:r>
    </w:p>
  </w:endnote>
  <w:endnote w:type="continuationSeparator" w:id="0">
    <w:p w14:paraId="2B1BC55F" w14:textId="77777777" w:rsidR="001E3A94" w:rsidRDefault="001E3A94" w:rsidP="004E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4E7B17" w:rsidRPr="00F036B4" w14:paraId="21B97D36"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9BDDA78" w14:textId="77777777" w:rsidR="004E7B17" w:rsidRPr="00F036B4" w:rsidRDefault="004E7B17" w:rsidP="004E7B17">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3732CD3" w14:textId="77777777" w:rsidR="004E7B17" w:rsidRPr="00F036B4" w:rsidRDefault="004E7B17" w:rsidP="004E7B17">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48B5E9C" w14:textId="77777777" w:rsidR="004E7B17" w:rsidRPr="00F036B4" w:rsidRDefault="004E7B17" w:rsidP="004E7B17">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4E7B17" w:rsidRPr="00F036B4" w14:paraId="499BA561"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40541E1" w14:textId="77777777" w:rsidR="004E7B17" w:rsidRPr="00F036B4" w:rsidRDefault="004E7B17" w:rsidP="004E7B17">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8BD3698" w14:textId="77777777" w:rsidR="004E7B17" w:rsidRPr="00F036B4" w:rsidRDefault="004E7B17" w:rsidP="004E7B17">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DE44799" w14:textId="77777777" w:rsidR="004E7B17" w:rsidRPr="00F036B4" w:rsidRDefault="004E7B17" w:rsidP="004E7B17">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73244A2F" w14:textId="77777777" w:rsidR="004E7B17" w:rsidRDefault="004E7B17" w:rsidP="004E7B17">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F184" w14:textId="77777777" w:rsidR="001E3A94" w:rsidRDefault="001E3A94" w:rsidP="004E7B17">
      <w:pPr>
        <w:spacing w:after="0" w:line="240" w:lineRule="auto"/>
      </w:pPr>
      <w:r>
        <w:separator/>
      </w:r>
    </w:p>
  </w:footnote>
  <w:footnote w:type="continuationSeparator" w:id="0">
    <w:p w14:paraId="50F2CF6A" w14:textId="77777777" w:rsidR="001E3A94" w:rsidRDefault="001E3A94" w:rsidP="004E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4E7B17" w14:paraId="788EA8F2"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213D8ECD" w14:textId="77777777" w:rsidR="004E7B17" w:rsidRDefault="004E7B17" w:rsidP="004E7B17">
          <w:pPr>
            <w:pStyle w:val="Encabezado"/>
            <w:spacing w:before="120" w:after="120"/>
            <w:jc w:val="center"/>
            <w:rPr>
              <w:b/>
            </w:rPr>
          </w:pPr>
          <w:r>
            <w:rPr>
              <w:b/>
              <w:noProof/>
              <w:lang w:eastAsia="es-CO"/>
            </w:rPr>
            <w:drawing>
              <wp:inline distT="0" distB="0" distL="0" distR="0" wp14:anchorId="25C9A338" wp14:editId="4387673F">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519C2098" w14:textId="11DF8856" w:rsidR="004E7B17" w:rsidRPr="00F65949" w:rsidRDefault="004E7B17" w:rsidP="004E7B17">
          <w:pPr>
            <w:pStyle w:val="Default"/>
            <w:spacing w:before="120" w:after="120"/>
            <w:jc w:val="center"/>
            <w:rPr>
              <w:b/>
              <w:bCs/>
            </w:rPr>
          </w:pPr>
          <w:r>
            <w:rPr>
              <w:b/>
              <w:bCs/>
              <w:color w:val="auto"/>
              <w:sz w:val="22"/>
              <w:szCs w:val="22"/>
            </w:rPr>
            <w:t xml:space="preserve">POLÍTICA </w:t>
          </w:r>
          <w:r>
            <w:rPr>
              <w:b/>
              <w:bCs/>
              <w:color w:val="auto"/>
              <w:sz w:val="22"/>
              <w:szCs w:val="22"/>
            </w:rPr>
            <w:t>SEGUIMIENTO Y EVALUACION DEL DESEMPEÑO INSTITUCIONAL</w:t>
          </w:r>
        </w:p>
      </w:tc>
      <w:tc>
        <w:tcPr>
          <w:tcW w:w="1542" w:type="pct"/>
          <w:tcBorders>
            <w:top w:val="single" w:sz="4" w:space="0" w:color="auto"/>
            <w:left w:val="single" w:sz="4" w:space="0" w:color="auto"/>
            <w:bottom w:val="single" w:sz="4" w:space="0" w:color="auto"/>
            <w:right w:val="single" w:sz="4" w:space="0" w:color="auto"/>
          </w:tcBorders>
          <w:vAlign w:val="center"/>
        </w:tcPr>
        <w:p w14:paraId="6D9B440D" w14:textId="310DCEA8" w:rsidR="004E7B17" w:rsidRPr="001E3AD7" w:rsidRDefault="004E7B17" w:rsidP="004E7B17">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2</w:t>
          </w:r>
        </w:p>
      </w:tc>
    </w:tr>
    <w:tr w:rsidR="004E7B17" w14:paraId="25E9B272"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3F4406E" w14:textId="77777777" w:rsidR="004E7B17" w:rsidRDefault="004E7B17" w:rsidP="004E7B17">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C5880D3" w14:textId="77777777" w:rsidR="004E7B17" w:rsidRPr="001E3AD7" w:rsidRDefault="004E7B17" w:rsidP="004E7B17">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0A52CF5C" w14:textId="77777777" w:rsidR="004E7B17" w:rsidRPr="001E3AD7" w:rsidRDefault="004E7B17" w:rsidP="004E7B17">
          <w:pPr>
            <w:pStyle w:val="Encabezado"/>
            <w:spacing w:before="120" w:after="120"/>
            <w:rPr>
              <w:rFonts w:ascii="Arial" w:hAnsi="Arial" w:cs="Arial"/>
              <w:b/>
            </w:rPr>
          </w:pPr>
          <w:r>
            <w:rPr>
              <w:rFonts w:ascii="Arial" w:hAnsi="Arial" w:cs="Arial"/>
              <w:b/>
            </w:rPr>
            <w:t>Versión: 01</w:t>
          </w:r>
        </w:p>
      </w:tc>
    </w:tr>
    <w:tr w:rsidR="004E7B17" w14:paraId="7AFF0E04"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16F97D5" w14:textId="77777777" w:rsidR="004E7B17" w:rsidRDefault="004E7B17" w:rsidP="004E7B17">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12086BF" w14:textId="77777777" w:rsidR="004E7B17" w:rsidRPr="001E3AD7" w:rsidRDefault="004E7B17" w:rsidP="004E7B17">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7DE01FC" w14:textId="77777777" w:rsidR="004E7B17" w:rsidRPr="001E3AD7" w:rsidRDefault="004E7B17" w:rsidP="004E7B17">
          <w:pPr>
            <w:pStyle w:val="Encabezado"/>
            <w:spacing w:before="120" w:after="120"/>
            <w:rPr>
              <w:rFonts w:ascii="Arial" w:hAnsi="Arial" w:cs="Arial"/>
              <w:b/>
            </w:rPr>
          </w:pPr>
          <w:r w:rsidRPr="001E3AD7">
            <w:rPr>
              <w:rFonts w:ascii="Arial" w:hAnsi="Arial" w:cs="Arial"/>
              <w:b/>
            </w:rPr>
            <w:t>Página 1 de 1</w:t>
          </w:r>
        </w:p>
      </w:tc>
    </w:tr>
  </w:tbl>
  <w:p w14:paraId="5CCF16EE" w14:textId="77777777" w:rsidR="004E7B17" w:rsidRDefault="004E7B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902"/>
    <w:multiLevelType w:val="hybridMultilevel"/>
    <w:tmpl w:val="B9A0C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971BD4"/>
    <w:multiLevelType w:val="hybridMultilevel"/>
    <w:tmpl w:val="9C223F24"/>
    <w:lvl w:ilvl="0" w:tplc="B6D486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A36498"/>
    <w:multiLevelType w:val="hybridMultilevel"/>
    <w:tmpl w:val="D16EE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895F0E"/>
    <w:multiLevelType w:val="hybridMultilevel"/>
    <w:tmpl w:val="E66A1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D96E55"/>
    <w:multiLevelType w:val="hybridMultilevel"/>
    <w:tmpl w:val="E52C4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3D2F45"/>
    <w:multiLevelType w:val="hybridMultilevel"/>
    <w:tmpl w:val="2C9E0D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4434140">
    <w:abstractNumId w:val="3"/>
  </w:num>
  <w:num w:numId="2" w16cid:durableId="1057318255">
    <w:abstractNumId w:val="0"/>
  </w:num>
  <w:num w:numId="3" w16cid:durableId="478886216">
    <w:abstractNumId w:val="4"/>
  </w:num>
  <w:num w:numId="4" w16cid:durableId="825439754">
    <w:abstractNumId w:val="5"/>
  </w:num>
  <w:num w:numId="5" w16cid:durableId="1574311989">
    <w:abstractNumId w:val="1"/>
  </w:num>
  <w:num w:numId="6" w16cid:durableId="82647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DB"/>
    <w:rsid w:val="001E3A94"/>
    <w:rsid w:val="004E7B17"/>
    <w:rsid w:val="005B7BA6"/>
    <w:rsid w:val="00CE091D"/>
    <w:rsid w:val="00F2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FCD5"/>
  <w15:chartTrackingRefBased/>
  <w15:docId w15:val="{BCAD2ACC-79BC-471C-A2D3-F5FF852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56D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E7B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E7B17"/>
  </w:style>
  <w:style w:type="paragraph" w:styleId="Piedepgina">
    <w:name w:val="footer"/>
    <w:basedOn w:val="Normal"/>
    <w:link w:val="PiedepginaCar"/>
    <w:uiPriority w:val="99"/>
    <w:unhideWhenUsed/>
    <w:rsid w:val="004E7B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E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1641</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2023-05-03T22:56:00Z</dcterms:created>
  <dcterms:modified xsi:type="dcterms:W3CDTF">2023-05-03T22:56:00Z</dcterms:modified>
</cp:coreProperties>
</file>