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5CA8" w14:textId="3EFF968D" w:rsidR="00C57E03" w:rsidRDefault="00C57E03" w:rsidP="00C57E03">
      <w:pPr>
        <w:pStyle w:val="Default"/>
        <w:spacing w:before="120" w:after="120"/>
        <w:jc w:val="center"/>
        <w:rPr>
          <w:sz w:val="22"/>
          <w:szCs w:val="22"/>
        </w:rPr>
      </w:pPr>
      <w:r>
        <w:rPr>
          <w:b/>
          <w:bCs/>
          <w:sz w:val="22"/>
          <w:szCs w:val="22"/>
        </w:rPr>
        <w:t>POLÍTICA DE ATENCIÓN PRIMARIA EN SALUD</w:t>
      </w:r>
    </w:p>
    <w:p w14:paraId="5F978441" w14:textId="799BE334" w:rsidR="00C57E03" w:rsidRDefault="00C57E03" w:rsidP="00C57E03">
      <w:pPr>
        <w:pStyle w:val="Default"/>
        <w:spacing w:before="120" w:after="120"/>
        <w:jc w:val="both"/>
        <w:rPr>
          <w:sz w:val="22"/>
          <w:szCs w:val="22"/>
        </w:rPr>
      </w:pPr>
      <w:r>
        <w:rPr>
          <w:sz w:val="22"/>
          <w:szCs w:val="22"/>
        </w:rPr>
        <w:t xml:space="preserve">El Gerente de la Empresa Social del Estado Hospital </w:t>
      </w:r>
      <w:r w:rsidR="00522B04">
        <w:rPr>
          <w:sz w:val="22"/>
          <w:szCs w:val="22"/>
        </w:rPr>
        <w:t xml:space="preserve">Santa Isabel </w:t>
      </w:r>
      <w:r>
        <w:rPr>
          <w:sz w:val="22"/>
          <w:szCs w:val="22"/>
        </w:rPr>
        <w:t xml:space="preserve">y sus colaboradores se comprometen a promover estilos de vida saludables y prevenir secuelas a causa de las condiciones de salud del usuario y su familia, atendiendo integralmente al paciente desde el diagnóstico, tratamiento, rehabilitación y mantenimiento de la salud, educando al usuario y su familia en factores de riesgo, facilitando la accesibilidad de los servicios de salud, la continuidad y el autocuidado, fortaleciendo la adherencia al tratamiento que conlleve a mejores resultados de salud a nivel poblacional y mayor satisfacción de los usuarios. </w:t>
      </w:r>
    </w:p>
    <w:p w14:paraId="6825FE07" w14:textId="77777777" w:rsidR="00C57E03" w:rsidRPr="00BC7509" w:rsidRDefault="00C57E03" w:rsidP="00C57E03">
      <w:pPr>
        <w:pStyle w:val="Default"/>
        <w:spacing w:before="120" w:after="120"/>
        <w:jc w:val="both"/>
        <w:rPr>
          <w:sz w:val="22"/>
          <w:szCs w:val="22"/>
        </w:rPr>
      </w:pPr>
    </w:p>
    <w:p w14:paraId="148F336E" w14:textId="77777777" w:rsidR="00C57E03" w:rsidRDefault="00C57E03" w:rsidP="00C57E03">
      <w:pPr>
        <w:pStyle w:val="Default"/>
        <w:jc w:val="both"/>
        <w:rPr>
          <w:sz w:val="22"/>
          <w:szCs w:val="22"/>
        </w:rPr>
      </w:pPr>
      <w:r>
        <w:rPr>
          <w:b/>
          <w:bCs/>
          <w:sz w:val="22"/>
          <w:szCs w:val="22"/>
        </w:rPr>
        <w:t xml:space="preserve">VALORES </w:t>
      </w:r>
    </w:p>
    <w:p w14:paraId="54B4B11E" w14:textId="77777777" w:rsidR="00C57E03" w:rsidRDefault="00C57E03" w:rsidP="00C57E03">
      <w:pPr>
        <w:pStyle w:val="Default"/>
        <w:spacing w:after="66"/>
        <w:jc w:val="both"/>
        <w:rPr>
          <w:sz w:val="22"/>
          <w:szCs w:val="22"/>
        </w:rPr>
      </w:pPr>
    </w:p>
    <w:p w14:paraId="32FBA18B" w14:textId="77777777" w:rsidR="00C57E03" w:rsidRDefault="00C57E03" w:rsidP="00C57E03">
      <w:pPr>
        <w:pStyle w:val="Default"/>
        <w:numPr>
          <w:ilvl w:val="0"/>
          <w:numId w:val="4"/>
        </w:numPr>
        <w:spacing w:after="66"/>
        <w:jc w:val="both"/>
        <w:rPr>
          <w:sz w:val="22"/>
          <w:szCs w:val="22"/>
        </w:rPr>
      </w:pPr>
      <w:r>
        <w:rPr>
          <w:sz w:val="22"/>
          <w:szCs w:val="22"/>
        </w:rPr>
        <w:t>Calidad</w:t>
      </w:r>
    </w:p>
    <w:p w14:paraId="7A711C92" w14:textId="77777777" w:rsidR="00C57E03" w:rsidRDefault="00C57E03" w:rsidP="00C57E03">
      <w:pPr>
        <w:pStyle w:val="Default"/>
        <w:numPr>
          <w:ilvl w:val="0"/>
          <w:numId w:val="4"/>
        </w:numPr>
        <w:spacing w:after="66"/>
        <w:jc w:val="both"/>
        <w:rPr>
          <w:sz w:val="22"/>
          <w:szCs w:val="22"/>
        </w:rPr>
      </w:pPr>
      <w:r>
        <w:rPr>
          <w:sz w:val="22"/>
          <w:szCs w:val="22"/>
        </w:rPr>
        <w:t>Eficiencia</w:t>
      </w:r>
    </w:p>
    <w:p w14:paraId="60620D64" w14:textId="77777777" w:rsidR="00C57E03" w:rsidRDefault="00C57E03" w:rsidP="00C57E03">
      <w:pPr>
        <w:pStyle w:val="Default"/>
        <w:numPr>
          <w:ilvl w:val="0"/>
          <w:numId w:val="4"/>
        </w:numPr>
        <w:spacing w:after="66"/>
        <w:jc w:val="both"/>
        <w:rPr>
          <w:sz w:val="22"/>
          <w:szCs w:val="22"/>
        </w:rPr>
      </w:pPr>
      <w:r>
        <w:rPr>
          <w:sz w:val="22"/>
          <w:szCs w:val="22"/>
        </w:rPr>
        <w:t>Equidad</w:t>
      </w:r>
    </w:p>
    <w:p w14:paraId="2CA89503" w14:textId="77777777" w:rsidR="00C57E03" w:rsidRDefault="00C57E03" w:rsidP="00C57E03">
      <w:pPr>
        <w:pStyle w:val="Default"/>
        <w:numPr>
          <w:ilvl w:val="0"/>
          <w:numId w:val="4"/>
        </w:numPr>
        <w:spacing w:after="66"/>
        <w:jc w:val="both"/>
        <w:rPr>
          <w:sz w:val="22"/>
          <w:szCs w:val="22"/>
        </w:rPr>
      </w:pPr>
      <w:r>
        <w:rPr>
          <w:sz w:val="22"/>
          <w:szCs w:val="22"/>
        </w:rPr>
        <w:t>Compromiso</w:t>
      </w:r>
    </w:p>
    <w:p w14:paraId="5A696C34" w14:textId="77777777" w:rsidR="00C57E03" w:rsidRDefault="00C57E03" w:rsidP="00C57E03">
      <w:pPr>
        <w:pStyle w:val="Default"/>
        <w:numPr>
          <w:ilvl w:val="0"/>
          <w:numId w:val="4"/>
        </w:numPr>
        <w:spacing w:after="66"/>
        <w:jc w:val="both"/>
        <w:rPr>
          <w:sz w:val="22"/>
          <w:szCs w:val="22"/>
        </w:rPr>
      </w:pPr>
      <w:r>
        <w:rPr>
          <w:sz w:val="22"/>
          <w:szCs w:val="22"/>
        </w:rPr>
        <w:t xml:space="preserve">Sentido de Pertenencia </w:t>
      </w:r>
    </w:p>
    <w:p w14:paraId="1968F81C" w14:textId="77777777" w:rsidR="00C57E03" w:rsidRDefault="00C57E03" w:rsidP="00C57E03">
      <w:pPr>
        <w:pStyle w:val="Default"/>
        <w:jc w:val="both"/>
        <w:rPr>
          <w:sz w:val="22"/>
          <w:szCs w:val="22"/>
        </w:rPr>
      </w:pPr>
    </w:p>
    <w:p w14:paraId="6B030F41" w14:textId="77777777" w:rsidR="00C57E03" w:rsidRPr="00376A00" w:rsidRDefault="00C57E03" w:rsidP="00C57E03">
      <w:pPr>
        <w:pStyle w:val="Default"/>
        <w:jc w:val="both"/>
        <w:rPr>
          <w:b/>
          <w:bCs/>
          <w:sz w:val="22"/>
          <w:szCs w:val="22"/>
        </w:rPr>
      </w:pPr>
      <w:r w:rsidRPr="00376A00">
        <w:rPr>
          <w:b/>
          <w:bCs/>
          <w:sz w:val="22"/>
          <w:szCs w:val="22"/>
        </w:rPr>
        <w:t xml:space="preserve">PRINCIPIOS </w:t>
      </w:r>
    </w:p>
    <w:p w14:paraId="6F6D1C95" w14:textId="77777777" w:rsidR="00C57E03" w:rsidRDefault="00C57E03" w:rsidP="00C57E03">
      <w:pPr>
        <w:pStyle w:val="Default"/>
        <w:jc w:val="both"/>
        <w:rPr>
          <w:sz w:val="22"/>
          <w:szCs w:val="22"/>
        </w:rPr>
      </w:pPr>
    </w:p>
    <w:p w14:paraId="47EE7697" w14:textId="77777777" w:rsidR="00C57E03" w:rsidRDefault="00C57E03" w:rsidP="00C57E03">
      <w:pPr>
        <w:pStyle w:val="Default"/>
        <w:numPr>
          <w:ilvl w:val="0"/>
          <w:numId w:val="4"/>
        </w:numPr>
        <w:spacing w:after="66"/>
        <w:jc w:val="both"/>
        <w:rPr>
          <w:sz w:val="22"/>
          <w:szCs w:val="22"/>
        </w:rPr>
      </w:pPr>
      <w:bookmarkStart w:id="0" w:name="_Hlk134022491"/>
      <w:r>
        <w:rPr>
          <w:sz w:val="22"/>
          <w:szCs w:val="22"/>
        </w:rPr>
        <w:t xml:space="preserve">Excelencia </w:t>
      </w:r>
    </w:p>
    <w:p w14:paraId="22485F71" w14:textId="77777777" w:rsidR="00C57E03" w:rsidRDefault="00C57E03" w:rsidP="005C5B0C">
      <w:pPr>
        <w:pStyle w:val="Default"/>
        <w:numPr>
          <w:ilvl w:val="0"/>
          <w:numId w:val="4"/>
        </w:numPr>
        <w:spacing w:after="66"/>
        <w:jc w:val="both"/>
        <w:rPr>
          <w:sz w:val="22"/>
          <w:szCs w:val="22"/>
        </w:rPr>
      </w:pPr>
      <w:r>
        <w:rPr>
          <w:sz w:val="22"/>
          <w:szCs w:val="22"/>
        </w:rPr>
        <w:t>Humanismo</w:t>
      </w:r>
    </w:p>
    <w:p w14:paraId="4D822AB2" w14:textId="37635815" w:rsidR="00C57E03" w:rsidRDefault="00C57E03" w:rsidP="005C5B0C">
      <w:pPr>
        <w:pStyle w:val="Default"/>
        <w:numPr>
          <w:ilvl w:val="0"/>
          <w:numId w:val="4"/>
        </w:numPr>
        <w:spacing w:after="66"/>
        <w:jc w:val="both"/>
        <w:rPr>
          <w:sz w:val="22"/>
          <w:szCs w:val="22"/>
        </w:rPr>
      </w:pPr>
      <w:r>
        <w:rPr>
          <w:sz w:val="22"/>
          <w:szCs w:val="22"/>
        </w:rPr>
        <w:t>Responsabilidad</w:t>
      </w:r>
    </w:p>
    <w:p w14:paraId="4C02D0CD" w14:textId="447B4ADC" w:rsidR="00522B04" w:rsidRDefault="00522B04" w:rsidP="005C5B0C">
      <w:pPr>
        <w:pStyle w:val="Default"/>
        <w:numPr>
          <w:ilvl w:val="0"/>
          <w:numId w:val="4"/>
        </w:numPr>
        <w:spacing w:after="66"/>
        <w:jc w:val="both"/>
        <w:rPr>
          <w:sz w:val="22"/>
          <w:szCs w:val="22"/>
        </w:rPr>
      </w:pPr>
      <w:r>
        <w:rPr>
          <w:sz w:val="22"/>
          <w:szCs w:val="22"/>
        </w:rPr>
        <w:t>Transparencia</w:t>
      </w:r>
    </w:p>
    <w:p w14:paraId="49974240" w14:textId="7F9C15B1" w:rsidR="00522B04" w:rsidRDefault="00522B04" w:rsidP="005C5B0C">
      <w:pPr>
        <w:pStyle w:val="Default"/>
        <w:numPr>
          <w:ilvl w:val="0"/>
          <w:numId w:val="4"/>
        </w:numPr>
        <w:spacing w:after="66"/>
        <w:jc w:val="both"/>
        <w:rPr>
          <w:sz w:val="22"/>
          <w:szCs w:val="22"/>
        </w:rPr>
      </w:pPr>
      <w:r>
        <w:rPr>
          <w:sz w:val="22"/>
          <w:szCs w:val="22"/>
        </w:rPr>
        <w:t>Compromiso Social</w:t>
      </w:r>
    </w:p>
    <w:bookmarkEnd w:id="0"/>
    <w:p w14:paraId="15ACD4CB" w14:textId="77777777" w:rsidR="00C57E03" w:rsidRDefault="00C57E03" w:rsidP="00C57E03">
      <w:pPr>
        <w:pStyle w:val="Default"/>
        <w:spacing w:before="120" w:after="120"/>
        <w:jc w:val="both"/>
        <w:rPr>
          <w:sz w:val="22"/>
          <w:szCs w:val="22"/>
        </w:rPr>
      </w:pPr>
    </w:p>
    <w:p w14:paraId="684767CD" w14:textId="77777777" w:rsidR="00C57E03" w:rsidRDefault="00C57E03" w:rsidP="00C57E03">
      <w:pPr>
        <w:pStyle w:val="Default"/>
        <w:spacing w:before="120" w:after="120"/>
        <w:jc w:val="both"/>
        <w:rPr>
          <w:sz w:val="22"/>
          <w:szCs w:val="22"/>
        </w:rPr>
      </w:pPr>
      <w:r>
        <w:rPr>
          <w:b/>
          <w:bCs/>
          <w:sz w:val="22"/>
          <w:szCs w:val="22"/>
        </w:rPr>
        <w:t xml:space="preserve">OBJETIVOS DE LA POLÍTICA </w:t>
      </w:r>
    </w:p>
    <w:p w14:paraId="16660F72" w14:textId="63123B99" w:rsidR="00C57E03" w:rsidRDefault="00C57E03" w:rsidP="00C57E03">
      <w:pPr>
        <w:pStyle w:val="Default"/>
        <w:numPr>
          <w:ilvl w:val="0"/>
          <w:numId w:val="6"/>
        </w:numPr>
        <w:spacing w:before="120" w:after="120"/>
        <w:ind w:left="360"/>
        <w:jc w:val="both"/>
        <w:rPr>
          <w:sz w:val="22"/>
          <w:szCs w:val="22"/>
        </w:rPr>
      </w:pPr>
      <w:r>
        <w:rPr>
          <w:sz w:val="22"/>
          <w:szCs w:val="22"/>
        </w:rPr>
        <w:t xml:space="preserve">Promover estilos de vida saludables y prevenir secuelas a causa de las condiciones de salud del usuario y su familia. </w:t>
      </w:r>
    </w:p>
    <w:p w14:paraId="646B5870" w14:textId="0000A187" w:rsidR="00C57E03" w:rsidRDefault="00C57E03" w:rsidP="00C57E03">
      <w:pPr>
        <w:pStyle w:val="Default"/>
        <w:numPr>
          <w:ilvl w:val="0"/>
          <w:numId w:val="6"/>
        </w:numPr>
        <w:spacing w:before="120" w:after="120"/>
        <w:ind w:left="360"/>
        <w:jc w:val="both"/>
        <w:rPr>
          <w:sz w:val="22"/>
          <w:szCs w:val="22"/>
        </w:rPr>
      </w:pPr>
      <w:r>
        <w:rPr>
          <w:sz w:val="22"/>
          <w:szCs w:val="22"/>
        </w:rPr>
        <w:t xml:space="preserve">Atender integralmente al paciente desde el diagnóstico, tratamiento, rehabilitación y mantenimiento de la salud </w:t>
      </w:r>
    </w:p>
    <w:p w14:paraId="052C9A3B" w14:textId="33416154" w:rsidR="00C57E03" w:rsidRDefault="00C57E03" w:rsidP="00C57E03">
      <w:pPr>
        <w:pStyle w:val="Default"/>
        <w:numPr>
          <w:ilvl w:val="0"/>
          <w:numId w:val="6"/>
        </w:numPr>
        <w:spacing w:before="120" w:after="120"/>
        <w:ind w:left="360"/>
        <w:jc w:val="both"/>
        <w:rPr>
          <w:sz w:val="22"/>
          <w:szCs w:val="22"/>
        </w:rPr>
      </w:pPr>
      <w:r>
        <w:rPr>
          <w:sz w:val="22"/>
          <w:szCs w:val="22"/>
        </w:rPr>
        <w:t xml:space="preserve">Educar al usuario y su familia en factores de riesgo </w:t>
      </w:r>
    </w:p>
    <w:p w14:paraId="1B257F3C" w14:textId="6E3FB093" w:rsidR="00C57E03" w:rsidRDefault="00C57E03" w:rsidP="00C57E03">
      <w:pPr>
        <w:pStyle w:val="Default"/>
        <w:numPr>
          <w:ilvl w:val="0"/>
          <w:numId w:val="6"/>
        </w:numPr>
        <w:spacing w:before="120" w:after="120"/>
        <w:ind w:left="360"/>
        <w:jc w:val="both"/>
        <w:rPr>
          <w:sz w:val="22"/>
          <w:szCs w:val="22"/>
        </w:rPr>
      </w:pPr>
      <w:r>
        <w:rPr>
          <w:sz w:val="22"/>
          <w:szCs w:val="22"/>
        </w:rPr>
        <w:t xml:space="preserve">Facilitar la accesibilidad de los servicios de salud, la continuidad y el autocuidado </w:t>
      </w:r>
    </w:p>
    <w:p w14:paraId="3BC0E011" w14:textId="1C65F5F5" w:rsidR="00C57E03" w:rsidRDefault="00C57E03" w:rsidP="00C57E03">
      <w:pPr>
        <w:pStyle w:val="Default"/>
        <w:numPr>
          <w:ilvl w:val="0"/>
          <w:numId w:val="6"/>
        </w:numPr>
        <w:spacing w:before="120" w:after="120"/>
        <w:ind w:left="360"/>
        <w:jc w:val="both"/>
        <w:rPr>
          <w:sz w:val="22"/>
          <w:szCs w:val="22"/>
        </w:rPr>
      </w:pPr>
      <w:r>
        <w:rPr>
          <w:sz w:val="22"/>
          <w:szCs w:val="22"/>
        </w:rPr>
        <w:t xml:space="preserve">Fortalecer la adherencia al tratamiento que conlleve a mejores resultados de salud a nivel poblacional y mayor satisfacción de los usuarios. </w:t>
      </w:r>
    </w:p>
    <w:p w14:paraId="25D638F1" w14:textId="77777777" w:rsidR="00C57E03" w:rsidRDefault="00C57E03" w:rsidP="00C57E03">
      <w:pPr>
        <w:pStyle w:val="Default"/>
        <w:spacing w:before="120" w:after="120"/>
        <w:jc w:val="both"/>
        <w:rPr>
          <w:sz w:val="22"/>
          <w:szCs w:val="22"/>
        </w:rPr>
      </w:pPr>
    </w:p>
    <w:p w14:paraId="164B1C70" w14:textId="4D1CBA8B" w:rsidR="00C57E03" w:rsidRPr="00C57E03" w:rsidRDefault="00C57E03" w:rsidP="00C57E03">
      <w:pPr>
        <w:pStyle w:val="Default"/>
        <w:spacing w:before="120" w:after="120"/>
        <w:jc w:val="both"/>
        <w:rPr>
          <w:b/>
          <w:bCs/>
          <w:color w:val="auto"/>
          <w:sz w:val="22"/>
          <w:szCs w:val="22"/>
        </w:rPr>
      </w:pPr>
      <w:r w:rsidRPr="00C57E03">
        <w:rPr>
          <w:b/>
          <w:bCs/>
          <w:sz w:val="22"/>
          <w:szCs w:val="22"/>
        </w:rPr>
        <w:lastRenderedPageBreak/>
        <w:t>INDIC</w:t>
      </w:r>
      <w:r w:rsidRPr="00C57E03">
        <w:rPr>
          <w:b/>
          <w:bCs/>
          <w:color w:val="auto"/>
          <w:sz w:val="22"/>
          <w:szCs w:val="22"/>
        </w:rPr>
        <w:t xml:space="preserve">ADORES </w:t>
      </w:r>
    </w:p>
    <w:p w14:paraId="5A8EAEC1" w14:textId="77777777" w:rsidR="00C57E03" w:rsidRDefault="00C57E03" w:rsidP="00C57E03">
      <w:pPr>
        <w:pStyle w:val="Default"/>
        <w:spacing w:before="120" w:after="120"/>
        <w:jc w:val="both"/>
        <w:rPr>
          <w:color w:val="auto"/>
          <w:sz w:val="22"/>
          <w:szCs w:val="22"/>
        </w:rPr>
      </w:pPr>
      <w:r>
        <w:rPr>
          <w:b/>
          <w:bCs/>
          <w:color w:val="auto"/>
          <w:sz w:val="22"/>
          <w:szCs w:val="22"/>
        </w:rPr>
        <w:t xml:space="preserve">Cumplimiento a: </w:t>
      </w:r>
    </w:p>
    <w:p w14:paraId="2ED3198D" w14:textId="05ECEAA4" w:rsidR="00C57E03" w:rsidRDefault="00C57E03" w:rsidP="00C57E03">
      <w:pPr>
        <w:pStyle w:val="Default"/>
        <w:numPr>
          <w:ilvl w:val="0"/>
          <w:numId w:val="4"/>
        </w:numPr>
        <w:spacing w:before="120" w:after="120"/>
        <w:ind w:left="360" w:hanging="360"/>
        <w:jc w:val="both"/>
        <w:rPr>
          <w:color w:val="auto"/>
          <w:sz w:val="22"/>
          <w:szCs w:val="22"/>
        </w:rPr>
      </w:pPr>
      <w:r>
        <w:rPr>
          <w:color w:val="auto"/>
          <w:sz w:val="22"/>
          <w:szCs w:val="22"/>
        </w:rPr>
        <w:t xml:space="preserve">Estilos de vida saludables </w:t>
      </w:r>
    </w:p>
    <w:p w14:paraId="7387FE3A" w14:textId="6CF246E1" w:rsidR="00C57E03" w:rsidRDefault="00C57E03" w:rsidP="00C57E03">
      <w:pPr>
        <w:pStyle w:val="Default"/>
        <w:numPr>
          <w:ilvl w:val="0"/>
          <w:numId w:val="4"/>
        </w:numPr>
        <w:spacing w:before="120" w:after="120"/>
        <w:ind w:left="360" w:hanging="360"/>
        <w:jc w:val="both"/>
        <w:rPr>
          <w:color w:val="auto"/>
          <w:sz w:val="22"/>
          <w:szCs w:val="22"/>
        </w:rPr>
      </w:pPr>
      <w:r>
        <w:rPr>
          <w:color w:val="auto"/>
          <w:sz w:val="22"/>
          <w:szCs w:val="22"/>
        </w:rPr>
        <w:t xml:space="preserve">Accesibilidad y continuidad en los servicios de salud </w:t>
      </w:r>
    </w:p>
    <w:p w14:paraId="1EF51965" w14:textId="62556C2A" w:rsidR="00CE091D" w:rsidRDefault="00C57E03" w:rsidP="00C57E03">
      <w:pPr>
        <w:pStyle w:val="Default"/>
        <w:numPr>
          <w:ilvl w:val="0"/>
          <w:numId w:val="4"/>
        </w:numPr>
        <w:spacing w:before="120" w:after="120"/>
        <w:ind w:left="360" w:hanging="360"/>
        <w:jc w:val="both"/>
      </w:pPr>
      <w:r>
        <w:rPr>
          <w:color w:val="auto"/>
          <w:sz w:val="22"/>
          <w:szCs w:val="22"/>
        </w:rPr>
        <w:t>Satisfacción del usuario</w:t>
      </w:r>
    </w:p>
    <w:sectPr w:rsidR="00CE091D" w:rsidSect="00E339DA">
      <w:headerReference w:type="even" r:id="rId7"/>
      <w:headerReference w:type="default" r:id="rId8"/>
      <w:footerReference w:type="even" r:id="rId9"/>
      <w:footerReference w:type="default" r:id="rId10"/>
      <w:headerReference w:type="first" r:id="rId11"/>
      <w:footerReference w:type="first" r:id="rId12"/>
      <w:pgSz w:w="12240" w:h="16340"/>
      <w:pgMar w:top="740" w:right="1260" w:bottom="1432"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AEB6" w14:textId="77777777" w:rsidR="00457055" w:rsidRDefault="00457055" w:rsidP="00522B04">
      <w:pPr>
        <w:spacing w:after="0" w:line="240" w:lineRule="auto"/>
      </w:pPr>
      <w:r>
        <w:separator/>
      </w:r>
    </w:p>
  </w:endnote>
  <w:endnote w:type="continuationSeparator" w:id="0">
    <w:p w14:paraId="19D6A18C" w14:textId="77777777" w:rsidR="00457055" w:rsidRDefault="00457055" w:rsidP="0052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06B5" w14:textId="77777777" w:rsidR="005C5B0C" w:rsidRDefault="005C5B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522B04" w:rsidRPr="00F036B4" w14:paraId="7E949C0A"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AE30129" w14:textId="77777777" w:rsidR="00522B04" w:rsidRPr="00F036B4" w:rsidRDefault="00522B04" w:rsidP="00522B04">
          <w:pPr>
            <w:ind w:left="-70"/>
            <w:rPr>
              <w:rFonts w:ascii="Arial" w:hAnsi="Arial" w:cs="Arial"/>
              <w:sz w:val="20"/>
              <w:szCs w:val="20"/>
            </w:rPr>
          </w:pPr>
          <w:bookmarkStart w:id="2" w:name="_Hlk134022574"/>
          <w:bookmarkStart w:id="3" w:name="_Hlk134022575"/>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1B04DA7" w14:textId="77777777" w:rsidR="00522B04" w:rsidRPr="00F036B4" w:rsidRDefault="00522B04" w:rsidP="00522B04">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39FA548" w14:textId="77777777" w:rsidR="00522B04" w:rsidRPr="00F036B4" w:rsidRDefault="00522B04" w:rsidP="00522B04">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522B04" w:rsidRPr="00F036B4" w14:paraId="18CE38B6"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6331728" w14:textId="77777777" w:rsidR="00522B04" w:rsidRPr="00F036B4" w:rsidRDefault="00522B04" w:rsidP="00522B04">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10C2630" w14:textId="77777777" w:rsidR="00522B04" w:rsidRPr="00F036B4" w:rsidRDefault="00522B04" w:rsidP="00522B04">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1A21ABF3" w14:textId="77777777" w:rsidR="00522B04" w:rsidRPr="00F036B4" w:rsidRDefault="00522B04" w:rsidP="00522B04">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23C79941" w14:textId="414E0E88" w:rsidR="00522B04" w:rsidRPr="00522B04" w:rsidRDefault="00522B04" w:rsidP="00522B04">
    <w:pPr>
      <w:pStyle w:val="Piedepgina"/>
      <w:spacing w:before="120" w:after="120"/>
      <w:jc w:val="center"/>
      <w:rPr>
        <w:rFonts w:ascii="Arial" w:hAnsi="Arial" w:cs="Arial"/>
      </w:rPr>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898B" w14:textId="77777777" w:rsidR="005C5B0C" w:rsidRDefault="005C5B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39E8" w14:textId="77777777" w:rsidR="00457055" w:rsidRDefault="00457055" w:rsidP="00522B04">
      <w:pPr>
        <w:spacing w:after="0" w:line="240" w:lineRule="auto"/>
      </w:pPr>
      <w:r>
        <w:separator/>
      </w:r>
    </w:p>
  </w:footnote>
  <w:footnote w:type="continuationSeparator" w:id="0">
    <w:p w14:paraId="54F43536" w14:textId="77777777" w:rsidR="00457055" w:rsidRDefault="00457055" w:rsidP="0052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E3A6" w14:textId="77777777" w:rsidR="005C5B0C" w:rsidRDefault="005C5B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7312" w14:textId="378B9946" w:rsidR="00522B04" w:rsidRDefault="00522B04">
    <w:pPr>
      <w:pStyle w:val="Encabezado"/>
    </w:pPr>
  </w:p>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522B04" w14:paraId="3BA2F4B3"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3D9D5374" w14:textId="77777777" w:rsidR="00522B04" w:rsidRDefault="00522B04" w:rsidP="00522B04">
          <w:pPr>
            <w:pStyle w:val="Encabezado"/>
            <w:spacing w:before="120" w:after="120"/>
            <w:jc w:val="center"/>
            <w:rPr>
              <w:b/>
            </w:rPr>
          </w:pPr>
          <w:bookmarkStart w:id="1" w:name="_Hlk134022540"/>
          <w:r>
            <w:rPr>
              <w:b/>
              <w:noProof/>
              <w:lang w:eastAsia="es-CO"/>
            </w:rPr>
            <w:drawing>
              <wp:inline distT="0" distB="0" distL="0" distR="0" wp14:anchorId="73930DFB" wp14:editId="6B8C5197">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579761C8" w14:textId="12A0ABDF" w:rsidR="00522B04" w:rsidRPr="00F65949" w:rsidRDefault="00522B04" w:rsidP="00522B04">
          <w:pPr>
            <w:pStyle w:val="Default"/>
            <w:spacing w:before="120" w:after="120"/>
            <w:jc w:val="center"/>
            <w:rPr>
              <w:b/>
              <w:bCs/>
            </w:rPr>
          </w:pPr>
          <w:r>
            <w:rPr>
              <w:b/>
              <w:bCs/>
              <w:color w:val="auto"/>
              <w:sz w:val="22"/>
              <w:szCs w:val="22"/>
            </w:rPr>
            <w:t xml:space="preserve">POLÍTICA ATENCION </w:t>
          </w:r>
          <w:r>
            <w:rPr>
              <w:b/>
              <w:bCs/>
              <w:color w:val="auto"/>
              <w:sz w:val="22"/>
              <w:szCs w:val="22"/>
            </w:rPr>
            <w:t>PRIMARIA EN SALUD</w:t>
          </w:r>
        </w:p>
      </w:tc>
      <w:tc>
        <w:tcPr>
          <w:tcW w:w="1542" w:type="pct"/>
          <w:tcBorders>
            <w:top w:val="single" w:sz="4" w:space="0" w:color="auto"/>
            <w:left w:val="single" w:sz="4" w:space="0" w:color="auto"/>
            <w:bottom w:val="single" w:sz="4" w:space="0" w:color="auto"/>
            <w:right w:val="single" w:sz="4" w:space="0" w:color="auto"/>
          </w:tcBorders>
          <w:vAlign w:val="center"/>
        </w:tcPr>
        <w:p w14:paraId="658F0AEC" w14:textId="2920DA68" w:rsidR="00522B04" w:rsidRPr="001E3AD7" w:rsidRDefault="00522B04" w:rsidP="00522B04">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GD-PO-1</w:t>
          </w:r>
          <w:r>
            <w:rPr>
              <w:rFonts w:ascii="Arial" w:hAnsi="Arial" w:cs="Arial"/>
              <w:b/>
            </w:rPr>
            <w:t>9</w:t>
          </w:r>
        </w:p>
      </w:tc>
    </w:tr>
    <w:tr w:rsidR="00522B04" w14:paraId="79258027"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75923F41" w14:textId="77777777" w:rsidR="00522B04" w:rsidRDefault="00522B04" w:rsidP="00522B04">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691A4B7" w14:textId="77777777" w:rsidR="00522B04" w:rsidRPr="001E3AD7" w:rsidRDefault="00522B04" w:rsidP="00522B04">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C68BCF3" w14:textId="77777777" w:rsidR="00522B04" w:rsidRPr="001E3AD7" w:rsidRDefault="00522B04" w:rsidP="00522B04">
          <w:pPr>
            <w:pStyle w:val="Encabezado"/>
            <w:spacing w:before="120" w:after="120"/>
            <w:rPr>
              <w:rFonts w:ascii="Arial" w:hAnsi="Arial" w:cs="Arial"/>
              <w:b/>
            </w:rPr>
          </w:pPr>
          <w:r>
            <w:rPr>
              <w:rFonts w:ascii="Arial" w:hAnsi="Arial" w:cs="Arial"/>
              <w:b/>
            </w:rPr>
            <w:t>Versión: 01</w:t>
          </w:r>
        </w:p>
      </w:tc>
    </w:tr>
    <w:tr w:rsidR="00522B04" w14:paraId="722E417B"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2EB25C1E" w14:textId="77777777" w:rsidR="00522B04" w:rsidRDefault="00522B04" w:rsidP="00522B04">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B84BFCC" w14:textId="77777777" w:rsidR="00522B04" w:rsidRPr="001E3AD7" w:rsidRDefault="00522B04" w:rsidP="00522B04">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7EBEA0DD" w14:textId="77777777" w:rsidR="00522B04" w:rsidRPr="001E3AD7" w:rsidRDefault="00522B04" w:rsidP="00522B04">
          <w:pPr>
            <w:pStyle w:val="Encabezado"/>
            <w:spacing w:before="120" w:after="120"/>
            <w:rPr>
              <w:rFonts w:ascii="Arial" w:hAnsi="Arial" w:cs="Arial"/>
              <w:b/>
            </w:rPr>
          </w:pPr>
          <w:r w:rsidRPr="001E3AD7">
            <w:rPr>
              <w:rFonts w:ascii="Arial" w:hAnsi="Arial" w:cs="Arial"/>
              <w:b/>
            </w:rPr>
            <w:t>Página 1 de 1</w:t>
          </w:r>
        </w:p>
      </w:tc>
    </w:tr>
    <w:bookmarkEnd w:id="1"/>
  </w:tbl>
  <w:p w14:paraId="494A18A4" w14:textId="77777777" w:rsidR="00522B04" w:rsidRDefault="00522B0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87F5" w14:textId="77777777" w:rsidR="005C5B0C" w:rsidRDefault="005C5B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CAA9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E1708"/>
    <w:multiLevelType w:val="hybridMultilevel"/>
    <w:tmpl w:val="8746FA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B8FB77"/>
    <w:multiLevelType w:val="hybridMultilevel"/>
    <w:tmpl w:val="9CDC1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573612"/>
    <w:multiLevelType w:val="hybridMultilevel"/>
    <w:tmpl w:val="3B56C560"/>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BE72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EFF1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2662E54"/>
    <w:multiLevelType w:val="hybridMultilevel"/>
    <w:tmpl w:val="083C3224"/>
    <w:lvl w:ilvl="0" w:tplc="46605A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74229150">
    <w:abstractNumId w:val="4"/>
  </w:num>
  <w:num w:numId="2" w16cid:durableId="290941419">
    <w:abstractNumId w:val="5"/>
  </w:num>
  <w:num w:numId="3" w16cid:durableId="741220475">
    <w:abstractNumId w:val="0"/>
  </w:num>
  <w:num w:numId="4" w16cid:durableId="777525204">
    <w:abstractNumId w:val="2"/>
  </w:num>
  <w:num w:numId="5" w16cid:durableId="210505948">
    <w:abstractNumId w:val="1"/>
  </w:num>
  <w:num w:numId="6" w16cid:durableId="1715543451">
    <w:abstractNumId w:val="6"/>
  </w:num>
  <w:num w:numId="7" w16cid:durableId="290207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03"/>
    <w:rsid w:val="00457055"/>
    <w:rsid w:val="00522B04"/>
    <w:rsid w:val="005B7BA6"/>
    <w:rsid w:val="005C5B0C"/>
    <w:rsid w:val="00C57E03"/>
    <w:rsid w:val="00CE0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ABAA"/>
  <w15:chartTrackingRefBased/>
  <w15:docId w15:val="{8CFFB466-4A65-4FA1-815E-48B68765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7E0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22B0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22B04"/>
  </w:style>
  <w:style w:type="paragraph" w:styleId="Piedepgina">
    <w:name w:val="footer"/>
    <w:basedOn w:val="Normal"/>
    <w:link w:val="PiedepginaCar"/>
    <w:uiPriority w:val="99"/>
    <w:unhideWhenUsed/>
    <w:rsid w:val="00522B0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2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1272</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2023-05-03T21:04:00Z</dcterms:created>
  <dcterms:modified xsi:type="dcterms:W3CDTF">2023-05-03T21:09:00Z</dcterms:modified>
</cp:coreProperties>
</file>