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5DAD" w14:textId="7B745855" w:rsidR="001C040C" w:rsidRDefault="00C64C80" w:rsidP="001C040C">
      <w:pPr>
        <w:pStyle w:val="Default"/>
        <w:jc w:val="both"/>
        <w:rPr>
          <w:color w:val="auto"/>
          <w:sz w:val="22"/>
          <w:szCs w:val="22"/>
        </w:rPr>
      </w:pPr>
      <w:r>
        <w:rPr>
          <w:sz w:val="22"/>
          <w:szCs w:val="22"/>
        </w:rPr>
        <w:t xml:space="preserve">El Gerente de la Empresa Social del Estado Hospital Santa Isabel de San Pedro de los Milagros </w:t>
      </w:r>
      <w:r w:rsidR="001C040C">
        <w:rPr>
          <w:color w:val="auto"/>
          <w:sz w:val="22"/>
          <w:szCs w:val="22"/>
        </w:rPr>
        <w:t xml:space="preserve">comprometen a gestionar la oportunidad de la atención en los diferentes servicios, difundiendo los derechos y deberes a los usuarios, familia y colaboradores, verificando la identificación del paciente, entregando información clara y completa, identificando las barreras de acceso asistenciales y administrativas, identificando riesgos de humanización según tipo de usuario, gestionando las PQRSF de forma oportuna y promoviendo la satisfacción y fidelización de los usuarios, familia y cuidadores, hacia la obtención de necesidades y expectativas con nivel superior de calidad </w:t>
      </w:r>
    </w:p>
    <w:p w14:paraId="71049CB9" w14:textId="77777777" w:rsidR="001C040C" w:rsidRDefault="001C040C" w:rsidP="001C040C">
      <w:pPr>
        <w:pStyle w:val="Default"/>
        <w:jc w:val="both"/>
        <w:rPr>
          <w:b/>
          <w:bCs/>
          <w:color w:val="auto"/>
          <w:sz w:val="22"/>
          <w:szCs w:val="22"/>
        </w:rPr>
      </w:pPr>
    </w:p>
    <w:p w14:paraId="58FD4E1B" w14:textId="77777777" w:rsidR="001C040C" w:rsidRDefault="001C040C" w:rsidP="001C040C">
      <w:pPr>
        <w:pStyle w:val="Default"/>
        <w:jc w:val="both"/>
        <w:rPr>
          <w:color w:val="auto"/>
          <w:sz w:val="22"/>
          <w:szCs w:val="22"/>
        </w:rPr>
      </w:pPr>
      <w:r>
        <w:rPr>
          <w:b/>
          <w:bCs/>
          <w:color w:val="auto"/>
          <w:sz w:val="22"/>
          <w:szCs w:val="22"/>
        </w:rPr>
        <w:t xml:space="preserve">VALORES </w:t>
      </w:r>
    </w:p>
    <w:p w14:paraId="08AA470A" w14:textId="77777777" w:rsidR="001C040C" w:rsidRDefault="001C040C" w:rsidP="001C040C">
      <w:pPr>
        <w:pStyle w:val="Default"/>
        <w:spacing w:after="66"/>
        <w:jc w:val="both"/>
        <w:rPr>
          <w:color w:val="auto"/>
          <w:sz w:val="22"/>
          <w:szCs w:val="22"/>
        </w:rPr>
      </w:pPr>
    </w:p>
    <w:p w14:paraId="07740D53" w14:textId="77777777" w:rsidR="001C040C" w:rsidRDefault="001C040C" w:rsidP="00840DA1">
      <w:pPr>
        <w:pStyle w:val="Default"/>
        <w:numPr>
          <w:ilvl w:val="0"/>
          <w:numId w:val="1"/>
        </w:numPr>
        <w:spacing w:after="66"/>
        <w:jc w:val="both"/>
        <w:rPr>
          <w:color w:val="auto"/>
          <w:sz w:val="22"/>
          <w:szCs w:val="22"/>
        </w:rPr>
      </w:pPr>
      <w:r>
        <w:rPr>
          <w:color w:val="auto"/>
          <w:sz w:val="22"/>
          <w:szCs w:val="22"/>
        </w:rPr>
        <w:t xml:space="preserve">Honestidad </w:t>
      </w:r>
    </w:p>
    <w:p w14:paraId="0A2FCF98" w14:textId="77777777" w:rsidR="001C040C" w:rsidRDefault="001C040C" w:rsidP="00840DA1">
      <w:pPr>
        <w:pStyle w:val="Default"/>
        <w:numPr>
          <w:ilvl w:val="0"/>
          <w:numId w:val="1"/>
        </w:numPr>
        <w:spacing w:after="66"/>
        <w:jc w:val="both"/>
        <w:rPr>
          <w:color w:val="auto"/>
          <w:sz w:val="22"/>
          <w:szCs w:val="22"/>
        </w:rPr>
      </w:pPr>
      <w:r>
        <w:rPr>
          <w:color w:val="auto"/>
          <w:sz w:val="22"/>
          <w:szCs w:val="22"/>
        </w:rPr>
        <w:t xml:space="preserve">Responsabilidad </w:t>
      </w:r>
    </w:p>
    <w:p w14:paraId="673BB4A9" w14:textId="77777777" w:rsidR="001C040C" w:rsidRDefault="001C040C" w:rsidP="00840DA1">
      <w:pPr>
        <w:pStyle w:val="Default"/>
        <w:numPr>
          <w:ilvl w:val="0"/>
          <w:numId w:val="1"/>
        </w:numPr>
        <w:jc w:val="both"/>
        <w:rPr>
          <w:color w:val="auto"/>
          <w:sz w:val="22"/>
          <w:szCs w:val="22"/>
        </w:rPr>
      </w:pPr>
      <w:r>
        <w:rPr>
          <w:color w:val="auto"/>
          <w:sz w:val="22"/>
          <w:szCs w:val="22"/>
        </w:rPr>
        <w:t xml:space="preserve">Compromiso </w:t>
      </w:r>
    </w:p>
    <w:p w14:paraId="788EAB4E" w14:textId="77777777" w:rsidR="001C040C" w:rsidRDefault="001C040C" w:rsidP="001C040C">
      <w:pPr>
        <w:pStyle w:val="Default"/>
        <w:jc w:val="both"/>
        <w:rPr>
          <w:color w:val="auto"/>
          <w:sz w:val="22"/>
          <w:szCs w:val="22"/>
        </w:rPr>
      </w:pPr>
    </w:p>
    <w:p w14:paraId="144ECF77" w14:textId="77777777" w:rsidR="001C040C" w:rsidRDefault="001C040C" w:rsidP="001C040C">
      <w:pPr>
        <w:pStyle w:val="Default"/>
        <w:jc w:val="both"/>
        <w:rPr>
          <w:b/>
          <w:bCs/>
          <w:color w:val="auto"/>
          <w:sz w:val="22"/>
          <w:szCs w:val="22"/>
        </w:rPr>
      </w:pPr>
      <w:r>
        <w:rPr>
          <w:b/>
          <w:bCs/>
          <w:color w:val="auto"/>
          <w:sz w:val="22"/>
          <w:szCs w:val="22"/>
        </w:rPr>
        <w:t xml:space="preserve">PRINCIPIOS </w:t>
      </w:r>
    </w:p>
    <w:p w14:paraId="2E79D316" w14:textId="77777777" w:rsidR="001C040C" w:rsidRDefault="001C040C" w:rsidP="001C040C">
      <w:pPr>
        <w:pStyle w:val="Default"/>
        <w:jc w:val="both"/>
        <w:rPr>
          <w:color w:val="auto"/>
          <w:sz w:val="22"/>
          <w:szCs w:val="22"/>
        </w:rPr>
      </w:pPr>
    </w:p>
    <w:p w14:paraId="12A3B814" w14:textId="77777777" w:rsidR="001C040C" w:rsidRDefault="001C040C" w:rsidP="00840DA1">
      <w:pPr>
        <w:pStyle w:val="Default"/>
        <w:numPr>
          <w:ilvl w:val="0"/>
          <w:numId w:val="1"/>
        </w:numPr>
        <w:spacing w:after="66"/>
        <w:jc w:val="both"/>
        <w:rPr>
          <w:color w:val="auto"/>
          <w:sz w:val="22"/>
          <w:szCs w:val="22"/>
        </w:rPr>
      </w:pPr>
      <w:r>
        <w:rPr>
          <w:color w:val="auto"/>
          <w:sz w:val="22"/>
          <w:szCs w:val="22"/>
        </w:rPr>
        <w:t xml:space="preserve">Transparencia </w:t>
      </w:r>
    </w:p>
    <w:p w14:paraId="2DD99CE0" w14:textId="77777777" w:rsidR="001C040C" w:rsidRDefault="001C040C" w:rsidP="00840DA1">
      <w:pPr>
        <w:pStyle w:val="Default"/>
        <w:numPr>
          <w:ilvl w:val="0"/>
          <w:numId w:val="1"/>
        </w:numPr>
        <w:jc w:val="both"/>
        <w:rPr>
          <w:color w:val="auto"/>
          <w:sz w:val="22"/>
          <w:szCs w:val="22"/>
        </w:rPr>
      </w:pPr>
      <w:r>
        <w:rPr>
          <w:color w:val="auto"/>
          <w:sz w:val="22"/>
          <w:szCs w:val="22"/>
        </w:rPr>
        <w:t xml:space="preserve">Compromiso Social </w:t>
      </w:r>
    </w:p>
    <w:p w14:paraId="10640D67" w14:textId="77777777" w:rsidR="001C040C" w:rsidRDefault="001C040C" w:rsidP="001C040C">
      <w:pPr>
        <w:pStyle w:val="Default"/>
        <w:jc w:val="both"/>
        <w:rPr>
          <w:color w:val="auto"/>
          <w:sz w:val="22"/>
          <w:szCs w:val="22"/>
        </w:rPr>
      </w:pPr>
    </w:p>
    <w:p w14:paraId="6962DB97" w14:textId="77777777" w:rsidR="001C040C" w:rsidRDefault="001C040C" w:rsidP="001C040C">
      <w:pPr>
        <w:pStyle w:val="Default"/>
        <w:jc w:val="both"/>
        <w:rPr>
          <w:b/>
          <w:bCs/>
          <w:color w:val="auto"/>
          <w:sz w:val="22"/>
          <w:szCs w:val="22"/>
        </w:rPr>
      </w:pPr>
      <w:r>
        <w:rPr>
          <w:b/>
          <w:bCs/>
          <w:color w:val="auto"/>
          <w:sz w:val="22"/>
          <w:szCs w:val="22"/>
        </w:rPr>
        <w:t xml:space="preserve">OBJETIVOS DE LA POLÍTICA </w:t>
      </w:r>
    </w:p>
    <w:p w14:paraId="108F3262" w14:textId="77777777" w:rsidR="001C040C" w:rsidRDefault="001C040C" w:rsidP="001C040C">
      <w:pPr>
        <w:pStyle w:val="Default"/>
        <w:jc w:val="both"/>
        <w:rPr>
          <w:color w:val="auto"/>
          <w:sz w:val="22"/>
          <w:szCs w:val="22"/>
        </w:rPr>
      </w:pPr>
    </w:p>
    <w:p w14:paraId="608C9D1C"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Gestionar la oportunidad de la atención en los diferentes servicios </w:t>
      </w:r>
    </w:p>
    <w:p w14:paraId="0D742E44"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Difundir los derechos y deberes a los usuarios, familia y colaboradores. </w:t>
      </w:r>
    </w:p>
    <w:p w14:paraId="3D1F9A2E"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Verificar la identificación del paciente. </w:t>
      </w:r>
    </w:p>
    <w:p w14:paraId="006AA863"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Entregar información clara y completa </w:t>
      </w:r>
    </w:p>
    <w:p w14:paraId="16CA90FE"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Identificar las barreras de acceso asistenciales y administrativas </w:t>
      </w:r>
    </w:p>
    <w:p w14:paraId="74292E7F"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Identificar los riesgos de humanización según tipo de usuario </w:t>
      </w:r>
    </w:p>
    <w:p w14:paraId="6AE9BBC0" w14:textId="77777777" w:rsidR="001C040C" w:rsidRDefault="001C040C" w:rsidP="00840DA1">
      <w:pPr>
        <w:pStyle w:val="Default"/>
        <w:numPr>
          <w:ilvl w:val="0"/>
          <w:numId w:val="2"/>
        </w:numPr>
        <w:spacing w:after="53"/>
        <w:jc w:val="both"/>
        <w:rPr>
          <w:color w:val="auto"/>
          <w:sz w:val="22"/>
          <w:szCs w:val="22"/>
        </w:rPr>
      </w:pPr>
      <w:r>
        <w:rPr>
          <w:color w:val="auto"/>
          <w:sz w:val="22"/>
          <w:szCs w:val="22"/>
        </w:rPr>
        <w:t xml:space="preserve">Gestionar las PQRSF de forma oportuna </w:t>
      </w:r>
    </w:p>
    <w:p w14:paraId="23D4B5DA" w14:textId="77777777" w:rsidR="001C040C" w:rsidRDefault="001C040C" w:rsidP="00840DA1">
      <w:pPr>
        <w:pStyle w:val="Default"/>
        <w:numPr>
          <w:ilvl w:val="0"/>
          <w:numId w:val="2"/>
        </w:numPr>
        <w:jc w:val="both"/>
        <w:rPr>
          <w:color w:val="auto"/>
          <w:sz w:val="22"/>
          <w:szCs w:val="22"/>
        </w:rPr>
      </w:pPr>
      <w:r>
        <w:rPr>
          <w:color w:val="auto"/>
          <w:sz w:val="22"/>
          <w:szCs w:val="22"/>
        </w:rPr>
        <w:t xml:space="preserve">Promover la satisfacción y fidelización de los usuarios, familia y cuidadores, hacia la obtención de necesidades y expectativas con nivel superior de calidad </w:t>
      </w:r>
    </w:p>
    <w:p w14:paraId="325144D6" w14:textId="77777777" w:rsidR="001C040C" w:rsidRDefault="001C040C" w:rsidP="001C040C">
      <w:pPr>
        <w:pStyle w:val="Default"/>
        <w:jc w:val="both"/>
        <w:rPr>
          <w:color w:val="auto"/>
          <w:sz w:val="22"/>
          <w:szCs w:val="22"/>
        </w:rPr>
      </w:pPr>
    </w:p>
    <w:p w14:paraId="72CA9B02" w14:textId="77777777" w:rsidR="001C040C" w:rsidRDefault="001C040C" w:rsidP="001C040C">
      <w:pPr>
        <w:pStyle w:val="Default"/>
        <w:jc w:val="both"/>
        <w:rPr>
          <w:color w:val="auto"/>
          <w:sz w:val="22"/>
          <w:szCs w:val="22"/>
        </w:rPr>
      </w:pPr>
      <w:r>
        <w:rPr>
          <w:b/>
          <w:bCs/>
          <w:color w:val="auto"/>
          <w:sz w:val="22"/>
          <w:szCs w:val="22"/>
        </w:rPr>
        <w:t xml:space="preserve">INDICADORES </w:t>
      </w:r>
    </w:p>
    <w:p w14:paraId="61A990B0" w14:textId="77777777" w:rsidR="001C040C" w:rsidRDefault="001C040C" w:rsidP="001C040C">
      <w:pPr>
        <w:pStyle w:val="Default"/>
        <w:jc w:val="both"/>
        <w:rPr>
          <w:b/>
          <w:bCs/>
          <w:color w:val="auto"/>
          <w:sz w:val="22"/>
          <w:szCs w:val="22"/>
        </w:rPr>
      </w:pPr>
      <w:r>
        <w:rPr>
          <w:b/>
          <w:bCs/>
          <w:color w:val="auto"/>
          <w:sz w:val="22"/>
          <w:szCs w:val="22"/>
        </w:rPr>
        <w:t>Cumplimiento a:</w:t>
      </w:r>
    </w:p>
    <w:p w14:paraId="41209E9B" w14:textId="77777777" w:rsidR="001C040C" w:rsidRDefault="001C040C" w:rsidP="001C040C">
      <w:pPr>
        <w:pStyle w:val="Default"/>
        <w:jc w:val="both"/>
        <w:rPr>
          <w:color w:val="auto"/>
          <w:sz w:val="22"/>
          <w:szCs w:val="22"/>
        </w:rPr>
      </w:pPr>
      <w:r>
        <w:rPr>
          <w:b/>
          <w:bCs/>
          <w:color w:val="auto"/>
          <w:sz w:val="22"/>
          <w:szCs w:val="22"/>
        </w:rPr>
        <w:t xml:space="preserve"> </w:t>
      </w:r>
    </w:p>
    <w:p w14:paraId="1B718504" w14:textId="77777777" w:rsidR="001C040C" w:rsidRDefault="001C040C" w:rsidP="00840DA1">
      <w:pPr>
        <w:pStyle w:val="Default"/>
        <w:numPr>
          <w:ilvl w:val="0"/>
          <w:numId w:val="3"/>
        </w:numPr>
        <w:spacing w:after="66"/>
        <w:jc w:val="both"/>
        <w:rPr>
          <w:color w:val="auto"/>
          <w:sz w:val="22"/>
          <w:szCs w:val="22"/>
        </w:rPr>
      </w:pPr>
      <w:r>
        <w:rPr>
          <w:color w:val="auto"/>
          <w:sz w:val="22"/>
          <w:szCs w:val="22"/>
        </w:rPr>
        <w:t xml:space="preserve">Satisfacción (% de usuarios satisfechos del periodo / total de usuarios </w:t>
      </w:r>
      <w:proofErr w:type="gramStart"/>
      <w:r>
        <w:rPr>
          <w:color w:val="auto"/>
          <w:sz w:val="22"/>
          <w:szCs w:val="22"/>
        </w:rPr>
        <w:t>atendidos)*</w:t>
      </w:r>
      <w:proofErr w:type="gramEnd"/>
      <w:r>
        <w:rPr>
          <w:color w:val="auto"/>
          <w:sz w:val="22"/>
          <w:szCs w:val="22"/>
        </w:rPr>
        <w:t xml:space="preserve">100 </w:t>
      </w:r>
    </w:p>
    <w:p w14:paraId="6D08A2B9" w14:textId="77777777" w:rsidR="001C040C" w:rsidRDefault="001C040C" w:rsidP="00840DA1">
      <w:pPr>
        <w:pStyle w:val="Default"/>
        <w:numPr>
          <w:ilvl w:val="0"/>
          <w:numId w:val="3"/>
        </w:numPr>
        <w:spacing w:after="66"/>
        <w:jc w:val="both"/>
        <w:rPr>
          <w:color w:val="auto"/>
          <w:sz w:val="22"/>
          <w:szCs w:val="22"/>
        </w:rPr>
      </w:pPr>
      <w:r>
        <w:rPr>
          <w:color w:val="auto"/>
          <w:sz w:val="22"/>
          <w:szCs w:val="22"/>
        </w:rPr>
        <w:t xml:space="preserve">Quejas (Quejas resueltas / total de quejas presentadas) *100 </w:t>
      </w:r>
    </w:p>
    <w:p w14:paraId="7F577CDA" w14:textId="77777777" w:rsidR="001C040C" w:rsidRDefault="001C040C" w:rsidP="00840DA1">
      <w:pPr>
        <w:pStyle w:val="Default"/>
        <w:numPr>
          <w:ilvl w:val="0"/>
          <w:numId w:val="3"/>
        </w:numPr>
        <w:spacing w:after="66"/>
        <w:jc w:val="both"/>
        <w:rPr>
          <w:color w:val="auto"/>
          <w:sz w:val="22"/>
          <w:szCs w:val="22"/>
        </w:rPr>
      </w:pPr>
      <w:r>
        <w:rPr>
          <w:color w:val="auto"/>
          <w:sz w:val="22"/>
          <w:szCs w:val="22"/>
        </w:rPr>
        <w:t xml:space="preserve">Quejas por maltrato (Quejas por maltrato / total de quejas </w:t>
      </w:r>
      <w:proofErr w:type="gramStart"/>
      <w:r>
        <w:rPr>
          <w:color w:val="auto"/>
          <w:sz w:val="22"/>
          <w:szCs w:val="22"/>
        </w:rPr>
        <w:t>presentadas)*</w:t>
      </w:r>
      <w:proofErr w:type="gramEnd"/>
      <w:r>
        <w:rPr>
          <w:color w:val="auto"/>
          <w:sz w:val="22"/>
          <w:szCs w:val="22"/>
        </w:rPr>
        <w:t xml:space="preserve">100 </w:t>
      </w:r>
    </w:p>
    <w:p w14:paraId="5A5DBBE4" w14:textId="77777777" w:rsidR="001C040C" w:rsidRDefault="001C040C" w:rsidP="00840DA1">
      <w:pPr>
        <w:pStyle w:val="Default"/>
        <w:numPr>
          <w:ilvl w:val="0"/>
          <w:numId w:val="3"/>
        </w:numPr>
        <w:spacing w:after="66"/>
        <w:jc w:val="both"/>
        <w:rPr>
          <w:color w:val="auto"/>
          <w:sz w:val="22"/>
          <w:szCs w:val="22"/>
        </w:rPr>
      </w:pPr>
      <w:r>
        <w:rPr>
          <w:color w:val="auto"/>
          <w:sz w:val="22"/>
          <w:szCs w:val="22"/>
        </w:rPr>
        <w:t xml:space="preserve">Felicitaciones por la atención </w:t>
      </w:r>
    </w:p>
    <w:p w14:paraId="58FE0E0A" w14:textId="77777777" w:rsidR="001C040C" w:rsidRDefault="001C040C" w:rsidP="00840DA1">
      <w:pPr>
        <w:pStyle w:val="Default"/>
        <w:numPr>
          <w:ilvl w:val="0"/>
          <w:numId w:val="3"/>
        </w:numPr>
        <w:spacing w:after="66"/>
        <w:jc w:val="both"/>
        <w:rPr>
          <w:color w:val="auto"/>
          <w:sz w:val="22"/>
          <w:szCs w:val="22"/>
        </w:rPr>
      </w:pPr>
      <w:r>
        <w:rPr>
          <w:color w:val="auto"/>
          <w:sz w:val="22"/>
          <w:szCs w:val="22"/>
        </w:rPr>
        <w:t>Satisfacción Global</w:t>
      </w:r>
    </w:p>
    <w:p w14:paraId="256D8B46" w14:textId="77777777" w:rsidR="001C040C" w:rsidRPr="009734AE" w:rsidRDefault="001C040C" w:rsidP="00840DA1">
      <w:pPr>
        <w:pStyle w:val="Default"/>
        <w:numPr>
          <w:ilvl w:val="0"/>
          <w:numId w:val="3"/>
        </w:numPr>
        <w:jc w:val="both"/>
        <w:rPr>
          <w:color w:val="auto"/>
        </w:rPr>
      </w:pPr>
      <w:r w:rsidRPr="009734AE">
        <w:rPr>
          <w:color w:val="auto"/>
          <w:sz w:val="22"/>
          <w:szCs w:val="22"/>
        </w:rPr>
        <w:t xml:space="preserve">Experiencia de la atención </w:t>
      </w:r>
    </w:p>
    <w:p w14:paraId="7684B6A5" w14:textId="77777777" w:rsidR="001C040C" w:rsidRDefault="001C040C" w:rsidP="00840DA1">
      <w:pPr>
        <w:pStyle w:val="Default"/>
        <w:numPr>
          <w:ilvl w:val="0"/>
          <w:numId w:val="3"/>
        </w:numPr>
        <w:spacing w:after="30"/>
        <w:jc w:val="both"/>
        <w:rPr>
          <w:color w:val="auto"/>
          <w:sz w:val="22"/>
          <w:szCs w:val="22"/>
        </w:rPr>
      </w:pPr>
      <w:r>
        <w:rPr>
          <w:color w:val="auto"/>
          <w:sz w:val="22"/>
          <w:szCs w:val="22"/>
        </w:rPr>
        <w:t xml:space="preserve">Socialización y conocimiento de los deberes y derechos de los usuarios, familia y colaboradores </w:t>
      </w:r>
    </w:p>
    <w:p w14:paraId="5C5FDD50" w14:textId="77777777" w:rsidR="001C040C" w:rsidRDefault="001C040C" w:rsidP="00840DA1">
      <w:pPr>
        <w:pStyle w:val="Default"/>
        <w:numPr>
          <w:ilvl w:val="0"/>
          <w:numId w:val="3"/>
        </w:numPr>
        <w:jc w:val="both"/>
        <w:rPr>
          <w:color w:val="auto"/>
          <w:sz w:val="22"/>
          <w:szCs w:val="22"/>
        </w:rPr>
      </w:pPr>
      <w:r>
        <w:rPr>
          <w:color w:val="auto"/>
          <w:sz w:val="22"/>
          <w:szCs w:val="22"/>
        </w:rPr>
        <w:t xml:space="preserve">Oportunidad en la atención </w:t>
      </w:r>
    </w:p>
    <w:p w14:paraId="64BA2C30" w14:textId="77777777" w:rsidR="001C040C" w:rsidRDefault="001C040C" w:rsidP="001C040C">
      <w:pPr>
        <w:jc w:val="both"/>
      </w:pPr>
    </w:p>
    <w:p w14:paraId="1ED078E4" w14:textId="553E1D61" w:rsidR="00595387" w:rsidRPr="00FC379D" w:rsidRDefault="00595387" w:rsidP="001C040C">
      <w:pPr>
        <w:pStyle w:val="Default"/>
        <w:jc w:val="both"/>
      </w:pPr>
    </w:p>
    <w:sectPr w:rsidR="00595387" w:rsidRPr="00FC379D"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9F8C" w14:textId="77777777" w:rsidR="00E87F9B" w:rsidRDefault="00E87F9B">
      <w:r>
        <w:separator/>
      </w:r>
    </w:p>
  </w:endnote>
  <w:endnote w:type="continuationSeparator" w:id="0">
    <w:p w14:paraId="24CF7223" w14:textId="77777777" w:rsidR="00E87F9B" w:rsidRDefault="00E8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CE1CE1" w14:paraId="4FCB3396" w14:textId="77777777" w:rsidTr="00CE1CE1">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5ED8152F" w14:textId="77777777" w:rsidR="00CE1CE1" w:rsidRDefault="00CE1CE1" w:rsidP="00CE1CE1">
          <w:pPr>
            <w:spacing w:line="252"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22B18A09" w14:textId="77777777" w:rsidR="00CE1CE1" w:rsidRDefault="00CE1CE1" w:rsidP="00CE1CE1">
          <w:pPr>
            <w:spacing w:line="252"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10094C92" w14:textId="77777777" w:rsidR="00CE1CE1" w:rsidRDefault="00CE1CE1" w:rsidP="00CE1CE1">
          <w:pPr>
            <w:spacing w:line="252"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CE1CE1" w14:paraId="47FE84AB" w14:textId="77777777" w:rsidTr="00CE1CE1">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4186E453" w14:textId="77777777" w:rsidR="00CE1CE1" w:rsidRDefault="00CE1CE1" w:rsidP="00CE1CE1">
          <w:pPr>
            <w:spacing w:line="252"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6EF20E07" w14:textId="77777777" w:rsidR="00CE1CE1" w:rsidRDefault="00CE1CE1" w:rsidP="00CE1CE1">
          <w:pPr>
            <w:spacing w:line="252"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5711267E" w14:textId="77777777" w:rsidR="00CE1CE1" w:rsidRDefault="00CE1CE1" w:rsidP="00CE1CE1">
          <w:pPr>
            <w:spacing w:line="252" w:lineRule="auto"/>
            <w:rPr>
              <w:rFonts w:ascii="Arial" w:hAnsi="Arial" w:cs="Arial"/>
              <w:b/>
              <w:sz w:val="20"/>
              <w:szCs w:val="20"/>
            </w:rPr>
          </w:pPr>
          <w:r>
            <w:rPr>
              <w:rFonts w:ascii="Arial" w:hAnsi="Arial" w:cs="Arial"/>
              <w:b/>
              <w:sz w:val="20"/>
              <w:szCs w:val="20"/>
            </w:rPr>
            <w:t>Fecha: ABRIL 2022</w:t>
          </w:r>
        </w:p>
      </w:tc>
    </w:tr>
  </w:tbl>
  <w:p w14:paraId="7ECF4EF4" w14:textId="0DD87327" w:rsidR="00CD2292" w:rsidRPr="00CE1CE1" w:rsidRDefault="00CE1CE1" w:rsidP="00CE1CE1">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B195" w14:textId="77777777" w:rsidR="00CE1CE1" w:rsidRDefault="00CE1C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4E87" w14:textId="77777777" w:rsidR="00E87F9B" w:rsidRDefault="00E87F9B">
      <w:r>
        <w:separator/>
      </w:r>
    </w:p>
  </w:footnote>
  <w:footnote w:type="continuationSeparator" w:id="0">
    <w:p w14:paraId="26D787C3" w14:textId="77777777" w:rsidR="00E87F9B" w:rsidRDefault="00E8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043D" w14:textId="77777777" w:rsidR="00CE1CE1" w:rsidRDefault="00CE1C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515FDD6B" w:rsidR="008C3B15" w:rsidRPr="00F65949" w:rsidRDefault="001C040C" w:rsidP="00CE1CE1">
          <w:pPr>
            <w:pStyle w:val="Default"/>
            <w:jc w:val="center"/>
            <w:rPr>
              <w:b/>
              <w:bCs/>
            </w:rPr>
          </w:pPr>
          <w:r>
            <w:rPr>
              <w:b/>
              <w:bCs/>
              <w:color w:val="auto"/>
              <w:sz w:val="22"/>
              <w:szCs w:val="22"/>
            </w:rPr>
            <w:t>POLÍTICA DE SERVICIO DE INFORMACIÓN Y ATENCIÓN AL USUARIO (SIAU)</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15C4E2AF" w:rsidR="008C3B15" w:rsidRPr="001E3AD7" w:rsidRDefault="008C3B15" w:rsidP="00903E21">
          <w:pPr>
            <w:pStyle w:val="Encabezado"/>
            <w:rPr>
              <w:rFonts w:ascii="Arial" w:hAnsi="Arial" w:cs="Arial"/>
              <w:b/>
            </w:rPr>
          </w:pPr>
          <w:r w:rsidRPr="001E3AD7">
            <w:rPr>
              <w:rFonts w:ascii="Arial" w:hAnsi="Arial" w:cs="Arial"/>
              <w:b/>
            </w:rPr>
            <w:t xml:space="preserve">Código: </w:t>
          </w:r>
          <w:r w:rsidR="00CE1CE1">
            <w:rPr>
              <w:rFonts w:ascii="Arial" w:hAnsi="Arial" w:cs="Arial"/>
              <w:b/>
            </w:rPr>
            <w:t>GD-PO-11</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9D3" w14:textId="77777777" w:rsidR="00CE1CE1" w:rsidRDefault="00CE1C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7EC4"/>
    <w:multiLevelType w:val="hybridMultilevel"/>
    <w:tmpl w:val="004CA34A"/>
    <w:lvl w:ilvl="0" w:tplc="BD0875E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34E1FDE"/>
    <w:multiLevelType w:val="hybridMultilevel"/>
    <w:tmpl w:val="4718F8B4"/>
    <w:lvl w:ilvl="0" w:tplc="BD0875E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BD2258"/>
    <w:multiLevelType w:val="hybridMultilevel"/>
    <w:tmpl w:val="D1006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61129576">
    <w:abstractNumId w:val="1"/>
  </w:num>
  <w:num w:numId="2" w16cid:durableId="1707293536">
    <w:abstractNumId w:val="2"/>
  </w:num>
  <w:num w:numId="3" w16cid:durableId="153237706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40C"/>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0DA1"/>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64C80"/>
    <w:rsid w:val="00C70C38"/>
    <w:rsid w:val="00C712FD"/>
    <w:rsid w:val="00C718F1"/>
    <w:rsid w:val="00C72B8C"/>
    <w:rsid w:val="00C83F3B"/>
    <w:rsid w:val="00C95795"/>
    <w:rsid w:val="00C95850"/>
    <w:rsid w:val="00CA4B3F"/>
    <w:rsid w:val="00CB200B"/>
    <w:rsid w:val="00CB763D"/>
    <w:rsid w:val="00CE1CE1"/>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87F9B"/>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0D8E"/>
    <w:rsid w:val="00F92027"/>
    <w:rsid w:val="00F94425"/>
    <w:rsid w:val="00F96FF0"/>
    <w:rsid w:val="00FA4718"/>
    <w:rsid w:val="00FB2884"/>
    <w:rsid w:val="00FC379D"/>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7888">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5</cp:revision>
  <cp:lastPrinted>2014-03-31T22:31:00Z</cp:lastPrinted>
  <dcterms:created xsi:type="dcterms:W3CDTF">2021-12-15T18:19:00Z</dcterms:created>
  <dcterms:modified xsi:type="dcterms:W3CDTF">2023-05-03T20:38:00Z</dcterms:modified>
</cp:coreProperties>
</file>