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42C0" w14:textId="77777777" w:rsidR="00714941" w:rsidRDefault="00714941" w:rsidP="00714941">
      <w:pPr>
        <w:pStyle w:val="Default"/>
        <w:jc w:val="both"/>
        <w:rPr>
          <w:color w:val="auto"/>
          <w:sz w:val="22"/>
          <w:szCs w:val="22"/>
        </w:rPr>
      </w:pPr>
      <w:r>
        <w:rPr>
          <w:color w:val="auto"/>
          <w:sz w:val="22"/>
          <w:szCs w:val="22"/>
        </w:rPr>
        <w:t xml:space="preserve">El Gerente de la Empresa Social del Estado Hospital Santa Isabel de San Pedro de los Milagros y sus colaboradores se comprometen a brindar servicios de salud integrales y con estándares superiores de calidad en la mediana y alta complejidad, mediante una atención interdisciplinaria e integral con enfoque universitario, identificando las necesidades y expectativas del usuario y su familia, la humanización del servicio, la atención segura y confidencial, la promoción de la salud y prevención de la enfermedad, el tratamiento curativo y rehabilitación, todo lo anterior englobado en el Modelo de Prestación de Servicios de Salud institucional, el cual hace énfasis en la seguridad del paciente, la humanización y la responsabilidad social. </w:t>
      </w:r>
    </w:p>
    <w:p w14:paraId="7EC3C98A" w14:textId="77777777" w:rsidR="00714941" w:rsidRDefault="00714941" w:rsidP="00714941">
      <w:pPr>
        <w:pStyle w:val="Default"/>
        <w:jc w:val="both"/>
        <w:rPr>
          <w:color w:val="auto"/>
          <w:sz w:val="22"/>
          <w:szCs w:val="22"/>
        </w:rPr>
      </w:pPr>
    </w:p>
    <w:p w14:paraId="3817B4D6" w14:textId="77777777" w:rsidR="00714941" w:rsidRDefault="00714941" w:rsidP="00714941">
      <w:pPr>
        <w:pStyle w:val="Default"/>
        <w:jc w:val="both"/>
        <w:rPr>
          <w:color w:val="auto"/>
          <w:sz w:val="22"/>
          <w:szCs w:val="22"/>
        </w:rPr>
      </w:pPr>
      <w:r>
        <w:rPr>
          <w:b/>
          <w:bCs/>
          <w:color w:val="auto"/>
          <w:sz w:val="22"/>
          <w:szCs w:val="22"/>
        </w:rPr>
        <w:t xml:space="preserve">VALORES </w:t>
      </w:r>
    </w:p>
    <w:p w14:paraId="00813968" w14:textId="5EC1F1E7" w:rsidR="00714941" w:rsidRDefault="00714941" w:rsidP="00552676">
      <w:pPr>
        <w:pStyle w:val="Default"/>
        <w:numPr>
          <w:ilvl w:val="0"/>
          <w:numId w:val="1"/>
        </w:numPr>
        <w:spacing w:after="30"/>
        <w:jc w:val="both"/>
        <w:rPr>
          <w:color w:val="auto"/>
          <w:sz w:val="22"/>
          <w:szCs w:val="22"/>
        </w:rPr>
      </w:pPr>
      <w:r>
        <w:rPr>
          <w:color w:val="auto"/>
          <w:sz w:val="22"/>
          <w:szCs w:val="22"/>
        </w:rPr>
        <w:t xml:space="preserve">Honestidad </w:t>
      </w:r>
    </w:p>
    <w:p w14:paraId="7883FF14" w14:textId="58279D89" w:rsidR="00714941" w:rsidRDefault="00714941" w:rsidP="00552676">
      <w:pPr>
        <w:pStyle w:val="Default"/>
        <w:numPr>
          <w:ilvl w:val="0"/>
          <w:numId w:val="1"/>
        </w:numPr>
        <w:spacing w:after="30"/>
        <w:jc w:val="both"/>
        <w:rPr>
          <w:color w:val="auto"/>
          <w:sz w:val="22"/>
          <w:szCs w:val="22"/>
        </w:rPr>
      </w:pPr>
      <w:r>
        <w:rPr>
          <w:color w:val="auto"/>
          <w:sz w:val="22"/>
          <w:szCs w:val="22"/>
        </w:rPr>
        <w:t xml:space="preserve">Responsabilidad </w:t>
      </w:r>
    </w:p>
    <w:p w14:paraId="7ADD9A39" w14:textId="02D3636B" w:rsidR="00714941" w:rsidRDefault="00714941" w:rsidP="00552676">
      <w:pPr>
        <w:pStyle w:val="Default"/>
        <w:numPr>
          <w:ilvl w:val="0"/>
          <w:numId w:val="1"/>
        </w:numPr>
        <w:spacing w:after="30"/>
        <w:jc w:val="both"/>
        <w:rPr>
          <w:color w:val="auto"/>
          <w:sz w:val="22"/>
          <w:szCs w:val="22"/>
        </w:rPr>
      </w:pPr>
      <w:r>
        <w:rPr>
          <w:color w:val="auto"/>
          <w:sz w:val="22"/>
          <w:szCs w:val="22"/>
        </w:rPr>
        <w:t xml:space="preserve">Respeto </w:t>
      </w:r>
    </w:p>
    <w:p w14:paraId="2272811C" w14:textId="0299C0C3" w:rsidR="00714941" w:rsidRDefault="00714941" w:rsidP="00552676">
      <w:pPr>
        <w:pStyle w:val="Default"/>
        <w:numPr>
          <w:ilvl w:val="0"/>
          <w:numId w:val="1"/>
        </w:numPr>
        <w:spacing w:after="30"/>
        <w:jc w:val="both"/>
        <w:rPr>
          <w:color w:val="auto"/>
          <w:sz w:val="22"/>
          <w:szCs w:val="22"/>
        </w:rPr>
      </w:pPr>
      <w:r>
        <w:rPr>
          <w:color w:val="auto"/>
          <w:sz w:val="22"/>
          <w:szCs w:val="22"/>
        </w:rPr>
        <w:t xml:space="preserve">Compromiso </w:t>
      </w:r>
    </w:p>
    <w:p w14:paraId="1DCFC127" w14:textId="5F84B7DB" w:rsidR="00714941" w:rsidRDefault="00714941" w:rsidP="00552676">
      <w:pPr>
        <w:pStyle w:val="Default"/>
        <w:numPr>
          <w:ilvl w:val="0"/>
          <w:numId w:val="1"/>
        </w:numPr>
        <w:jc w:val="both"/>
        <w:rPr>
          <w:color w:val="auto"/>
          <w:sz w:val="22"/>
          <w:szCs w:val="22"/>
        </w:rPr>
      </w:pPr>
      <w:r>
        <w:rPr>
          <w:color w:val="auto"/>
          <w:sz w:val="22"/>
          <w:szCs w:val="22"/>
        </w:rPr>
        <w:t xml:space="preserve">Conciencia Ambiental </w:t>
      </w:r>
    </w:p>
    <w:p w14:paraId="4631AE90" w14:textId="77777777" w:rsidR="00714941" w:rsidRDefault="00714941" w:rsidP="00714941">
      <w:pPr>
        <w:pStyle w:val="Default"/>
        <w:jc w:val="both"/>
        <w:rPr>
          <w:color w:val="auto"/>
          <w:sz w:val="22"/>
          <w:szCs w:val="22"/>
        </w:rPr>
      </w:pPr>
    </w:p>
    <w:p w14:paraId="7B02A965" w14:textId="77777777" w:rsidR="00714941" w:rsidRDefault="00714941" w:rsidP="00714941">
      <w:pPr>
        <w:pStyle w:val="Default"/>
        <w:jc w:val="both"/>
        <w:rPr>
          <w:b/>
          <w:bCs/>
          <w:color w:val="auto"/>
          <w:sz w:val="22"/>
          <w:szCs w:val="22"/>
        </w:rPr>
      </w:pPr>
      <w:r>
        <w:rPr>
          <w:b/>
          <w:bCs/>
          <w:color w:val="auto"/>
          <w:sz w:val="22"/>
          <w:szCs w:val="22"/>
        </w:rPr>
        <w:t xml:space="preserve">PRINCIPIOS </w:t>
      </w:r>
    </w:p>
    <w:p w14:paraId="302974CA" w14:textId="77777777" w:rsidR="00714941" w:rsidRDefault="00714941" w:rsidP="00714941">
      <w:pPr>
        <w:pStyle w:val="Default"/>
        <w:jc w:val="both"/>
        <w:rPr>
          <w:color w:val="auto"/>
          <w:sz w:val="22"/>
          <w:szCs w:val="22"/>
        </w:rPr>
      </w:pPr>
    </w:p>
    <w:p w14:paraId="41722ED7" w14:textId="23A7BAE2" w:rsidR="00714941" w:rsidRDefault="00714941" w:rsidP="00552676">
      <w:pPr>
        <w:pStyle w:val="Default"/>
        <w:numPr>
          <w:ilvl w:val="0"/>
          <w:numId w:val="1"/>
        </w:numPr>
        <w:spacing w:after="26"/>
        <w:jc w:val="both"/>
        <w:rPr>
          <w:color w:val="auto"/>
          <w:sz w:val="22"/>
          <w:szCs w:val="22"/>
        </w:rPr>
      </w:pPr>
      <w:r>
        <w:rPr>
          <w:color w:val="auto"/>
          <w:sz w:val="22"/>
          <w:szCs w:val="22"/>
        </w:rPr>
        <w:t xml:space="preserve">Transparencia </w:t>
      </w:r>
    </w:p>
    <w:p w14:paraId="547BD68E" w14:textId="74B92F1D" w:rsidR="00714941" w:rsidRDefault="00714941" w:rsidP="00552676">
      <w:pPr>
        <w:pStyle w:val="Default"/>
        <w:numPr>
          <w:ilvl w:val="0"/>
          <w:numId w:val="1"/>
        </w:numPr>
        <w:spacing w:after="26"/>
        <w:jc w:val="both"/>
        <w:rPr>
          <w:color w:val="auto"/>
          <w:sz w:val="22"/>
          <w:szCs w:val="22"/>
        </w:rPr>
      </w:pPr>
      <w:r>
        <w:rPr>
          <w:color w:val="auto"/>
          <w:sz w:val="22"/>
          <w:szCs w:val="22"/>
        </w:rPr>
        <w:t xml:space="preserve">Compromiso Social </w:t>
      </w:r>
    </w:p>
    <w:p w14:paraId="2DE2E75E" w14:textId="7F516285" w:rsidR="00714941" w:rsidRDefault="00714941" w:rsidP="00552676">
      <w:pPr>
        <w:pStyle w:val="Default"/>
        <w:numPr>
          <w:ilvl w:val="0"/>
          <w:numId w:val="1"/>
        </w:numPr>
        <w:spacing w:after="26"/>
        <w:jc w:val="both"/>
        <w:rPr>
          <w:color w:val="auto"/>
          <w:sz w:val="22"/>
          <w:szCs w:val="22"/>
        </w:rPr>
      </w:pPr>
      <w:r>
        <w:rPr>
          <w:color w:val="auto"/>
          <w:sz w:val="22"/>
          <w:szCs w:val="22"/>
        </w:rPr>
        <w:t xml:space="preserve">Excelencia </w:t>
      </w:r>
    </w:p>
    <w:p w14:paraId="74D2DC8F" w14:textId="703D733D" w:rsidR="00714941" w:rsidRDefault="00714941" w:rsidP="00552676">
      <w:pPr>
        <w:pStyle w:val="Default"/>
        <w:numPr>
          <w:ilvl w:val="0"/>
          <w:numId w:val="1"/>
        </w:numPr>
        <w:jc w:val="both"/>
        <w:rPr>
          <w:color w:val="auto"/>
          <w:sz w:val="22"/>
          <w:szCs w:val="22"/>
        </w:rPr>
      </w:pPr>
      <w:r>
        <w:rPr>
          <w:color w:val="auto"/>
          <w:sz w:val="22"/>
          <w:szCs w:val="22"/>
        </w:rPr>
        <w:t xml:space="preserve">Trabajo en Equipo </w:t>
      </w:r>
    </w:p>
    <w:p w14:paraId="58644ADD" w14:textId="77777777" w:rsidR="00714941" w:rsidRDefault="00714941" w:rsidP="00714941">
      <w:pPr>
        <w:pStyle w:val="Default"/>
        <w:jc w:val="both"/>
        <w:rPr>
          <w:color w:val="auto"/>
          <w:sz w:val="22"/>
          <w:szCs w:val="22"/>
        </w:rPr>
      </w:pPr>
    </w:p>
    <w:p w14:paraId="1A98F64D" w14:textId="77777777" w:rsidR="00714941" w:rsidRDefault="00714941" w:rsidP="00714941">
      <w:pPr>
        <w:pStyle w:val="Default"/>
        <w:jc w:val="both"/>
        <w:rPr>
          <w:b/>
          <w:bCs/>
          <w:color w:val="auto"/>
          <w:sz w:val="22"/>
          <w:szCs w:val="22"/>
        </w:rPr>
      </w:pPr>
      <w:r>
        <w:rPr>
          <w:b/>
          <w:bCs/>
          <w:color w:val="auto"/>
          <w:sz w:val="22"/>
          <w:szCs w:val="22"/>
        </w:rPr>
        <w:t xml:space="preserve">OBJETIVOS DE LA POLÍTICA </w:t>
      </w:r>
    </w:p>
    <w:p w14:paraId="792D9EAB" w14:textId="77777777" w:rsidR="00714941" w:rsidRDefault="00714941" w:rsidP="00714941">
      <w:pPr>
        <w:pStyle w:val="Default"/>
        <w:jc w:val="both"/>
        <w:rPr>
          <w:color w:val="auto"/>
          <w:sz w:val="22"/>
          <w:szCs w:val="22"/>
        </w:rPr>
      </w:pPr>
    </w:p>
    <w:p w14:paraId="662CF6E3" w14:textId="77777777" w:rsidR="00714941" w:rsidRDefault="00714941" w:rsidP="00714941">
      <w:pPr>
        <w:pStyle w:val="Default"/>
        <w:spacing w:after="15"/>
        <w:jc w:val="both"/>
        <w:rPr>
          <w:color w:val="auto"/>
          <w:sz w:val="22"/>
          <w:szCs w:val="22"/>
        </w:rPr>
      </w:pPr>
      <w:r>
        <w:rPr>
          <w:color w:val="auto"/>
          <w:sz w:val="22"/>
          <w:szCs w:val="22"/>
        </w:rPr>
        <w:t xml:space="preserve">1. Brindar atención integral de servicios de salud de baja y mediana complejidad, respondiendo satisfactoriamente a las necesidades y expectativas de los usuarios. </w:t>
      </w:r>
    </w:p>
    <w:p w14:paraId="66084A8A" w14:textId="77777777" w:rsidR="00714941" w:rsidRDefault="00714941" w:rsidP="00714941">
      <w:pPr>
        <w:pStyle w:val="Default"/>
        <w:spacing w:after="15"/>
        <w:jc w:val="both"/>
        <w:rPr>
          <w:color w:val="auto"/>
          <w:sz w:val="22"/>
          <w:szCs w:val="22"/>
        </w:rPr>
      </w:pPr>
      <w:r>
        <w:rPr>
          <w:color w:val="auto"/>
          <w:sz w:val="22"/>
          <w:szCs w:val="22"/>
        </w:rPr>
        <w:t xml:space="preserve">2. Adecuar los procesos y servicios institucionales de acuerdo con indicadores de mejoramiento continuo de la calidad, garantizando eficacia, eficiencia y efectividad en la ejecución de los procesos. </w:t>
      </w:r>
    </w:p>
    <w:p w14:paraId="6720756F" w14:textId="77777777" w:rsidR="00714941" w:rsidRDefault="00714941" w:rsidP="00714941">
      <w:pPr>
        <w:pStyle w:val="Default"/>
        <w:spacing w:after="15"/>
        <w:jc w:val="both"/>
        <w:rPr>
          <w:color w:val="auto"/>
          <w:sz w:val="22"/>
          <w:szCs w:val="22"/>
        </w:rPr>
      </w:pPr>
      <w:r>
        <w:rPr>
          <w:color w:val="auto"/>
          <w:sz w:val="22"/>
          <w:szCs w:val="22"/>
        </w:rPr>
        <w:t xml:space="preserve">3. Realizar articulación institucional con los aseguradores y demás prestadores, para garantizar un proceso de referencia y contra-referencia óptimo, en el marco de las redes integrales de prestadores de servicios de salud, buscando minimizar riesgos y complicaciones. </w:t>
      </w:r>
    </w:p>
    <w:p w14:paraId="63461357" w14:textId="77777777" w:rsidR="00714941" w:rsidRDefault="00714941" w:rsidP="00714941">
      <w:pPr>
        <w:pStyle w:val="Default"/>
        <w:jc w:val="both"/>
        <w:rPr>
          <w:color w:val="auto"/>
          <w:sz w:val="22"/>
          <w:szCs w:val="22"/>
        </w:rPr>
      </w:pPr>
      <w:r>
        <w:rPr>
          <w:color w:val="auto"/>
          <w:sz w:val="22"/>
          <w:szCs w:val="22"/>
        </w:rPr>
        <w:t xml:space="preserve">4. Asegurar un ambiente académico óptimo en la formación de talento humano que contribuya al mejoramiento continuo en la atención de los usuarios y a la generación de profesionales de la salud que propendan por el mejoramiento de la salud y la calidad de vida de la población del área de influencia. </w:t>
      </w:r>
    </w:p>
    <w:p w14:paraId="1260DFA7" w14:textId="77777777" w:rsidR="00714941" w:rsidRDefault="00714941" w:rsidP="00714941">
      <w:pPr>
        <w:pStyle w:val="Default"/>
        <w:jc w:val="both"/>
        <w:rPr>
          <w:color w:val="auto"/>
          <w:sz w:val="22"/>
          <w:szCs w:val="22"/>
        </w:rPr>
      </w:pPr>
    </w:p>
    <w:p w14:paraId="2970C47D" w14:textId="77777777" w:rsidR="00714941" w:rsidRDefault="00714941" w:rsidP="00714941">
      <w:pPr>
        <w:pStyle w:val="Default"/>
        <w:jc w:val="both"/>
        <w:rPr>
          <w:color w:val="auto"/>
          <w:sz w:val="22"/>
          <w:szCs w:val="22"/>
        </w:rPr>
      </w:pPr>
      <w:r>
        <w:rPr>
          <w:b/>
          <w:bCs/>
          <w:color w:val="auto"/>
          <w:sz w:val="22"/>
          <w:szCs w:val="22"/>
        </w:rPr>
        <w:t xml:space="preserve">INDICADORES </w:t>
      </w:r>
    </w:p>
    <w:p w14:paraId="662EB970" w14:textId="77777777" w:rsidR="00714941" w:rsidRDefault="00714941" w:rsidP="00714941">
      <w:pPr>
        <w:pStyle w:val="Default"/>
        <w:jc w:val="both"/>
        <w:rPr>
          <w:b/>
          <w:bCs/>
          <w:color w:val="auto"/>
          <w:sz w:val="22"/>
          <w:szCs w:val="22"/>
        </w:rPr>
      </w:pPr>
    </w:p>
    <w:p w14:paraId="298CE936" w14:textId="77777777" w:rsidR="00714941" w:rsidRDefault="00714941" w:rsidP="00714941">
      <w:pPr>
        <w:pStyle w:val="Default"/>
        <w:jc w:val="both"/>
        <w:rPr>
          <w:color w:val="auto"/>
          <w:sz w:val="23"/>
          <w:szCs w:val="23"/>
        </w:rPr>
      </w:pPr>
      <w:r>
        <w:rPr>
          <w:b/>
          <w:bCs/>
          <w:color w:val="auto"/>
          <w:sz w:val="22"/>
          <w:szCs w:val="22"/>
        </w:rPr>
        <w:t xml:space="preserve">Cumplimiento a: </w:t>
      </w:r>
    </w:p>
    <w:p w14:paraId="1DDB8932" w14:textId="77777777" w:rsidR="00714941" w:rsidRDefault="00714941" w:rsidP="00714941">
      <w:pPr>
        <w:pStyle w:val="Default"/>
        <w:spacing w:after="30"/>
        <w:jc w:val="both"/>
        <w:rPr>
          <w:color w:val="auto"/>
          <w:sz w:val="22"/>
          <w:szCs w:val="22"/>
        </w:rPr>
      </w:pPr>
    </w:p>
    <w:p w14:paraId="0A2B0F12" w14:textId="77777777" w:rsidR="00714941" w:rsidRDefault="00714941" w:rsidP="00552676">
      <w:pPr>
        <w:pStyle w:val="Default"/>
        <w:numPr>
          <w:ilvl w:val="0"/>
          <w:numId w:val="2"/>
        </w:numPr>
        <w:spacing w:after="30"/>
        <w:jc w:val="both"/>
        <w:rPr>
          <w:color w:val="auto"/>
          <w:sz w:val="22"/>
          <w:szCs w:val="22"/>
        </w:rPr>
      </w:pPr>
      <w:r>
        <w:rPr>
          <w:color w:val="auto"/>
          <w:sz w:val="22"/>
          <w:szCs w:val="22"/>
        </w:rPr>
        <w:t xml:space="preserve">Tasa de Satisfacción Global </w:t>
      </w:r>
    </w:p>
    <w:p w14:paraId="30EDD917" w14:textId="77777777" w:rsidR="00714941" w:rsidRDefault="00714941" w:rsidP="00552676">
      <w:pPr>
        <w:pStyle w:val="Default"/>
        <w:numPr>
          <w:ilvl w:val="0"/>
          <w:numId w:val="2"/>
        </w:numPr>
        <w:spacing w:after="30"/>
        <w:jc w:val="both"/>
        <w:rPr>
          <w:color w:val="auto"/>
          <w:sz w:val="22"/>
          <w:szCs w:val="22"/>
        </w:rPr>
      </w:pPr>
      <w:r>
        <w:rPr>
          <w:color w:val="auto"/>
          <w:sz w:val="22"/>
          <w:szCs w:val="22"/>
        </w:rPr>
        <w:t xml:space="preserve">Adherencia a guías de práctica clínica adoptadas </w:t>
      </w:r>
    </w:p>
    <w:p w14:paraId="2FAE1FFF" w14:textId="77777777" w:rsidR="00714941" w:rsidRDefault="00714941" w:rsidP="00552676">
      <w:pPr>
        <w:pStyle w:val="Default"/>
        <w:numPr>
          <w:ilvl w:val="0"/>
          <w:numId w:val="2"/>
        </w:numPr>
        <w:spacing w:after="30"/>
        <w:jc w:val="both"/>
        <w:rPr>
          <w:color w:val="auto"/>
          <w:sz w:val="22"/>
          <w:szCs w:val="22"/>
        </w:rPr>
      </w:pPr>
      <w:r>
        <w:rPr>
          <w:color w:val="auto"/>
          <w:sz w:val="22"/>
          <w:szCs w:val="22"/>
        </w:rPr>
        <w:t xml:space="preserve">Porcentaje de calidad del registro de la historia clínica y registros asistenciales </w:t>
      </w:r>
    </w:p>
    <w:p w14:paraId="460E4EE8" w14:textId="77777777" w:rsidR="00714941" w:rsidRDefault="00714941" w:rsidP="00552676">
      <w:pPr>
        <w:pStyle w:val="Default"/>
        <w:numPr>
          <w:ilvl w:val="0"/>
          <w:numId w:val="2"/>
        </w:numPr>
        <w:spacing w:after="30"/>
        <w:jc w:val="both"/>
        <w:rPr>
          <w:color w:val="auto"/>
          <w:sz w:val="22"/>
          <w:szCs w:val="22"/>
        </w:rPr>
      </w:pPr>
      <w:r>
        <w:rPr>
          <w:color w:val="auto"/>
          <w:sz w:val="22"/>
          <w:szCs w:val="22"/>
        </w:rPr>
        <w:lastRenderedPageBreak/>
        <w:t xml:space="preserve">Oportunidad en la atención de Urgencias </w:t>
      </w:r>
    </w:p>
    <w:p w14:paraId="2DF5E8E2" w14:textId="77777777" w:rsidR="00714941" w:rsidRDefault="00714941" w:rsidP="00552676">
      <w:pPr>
        <w:pStyle w:val="Default"/>
        <w:numPr>
          <w:ilvl w:val="0"/>
          <w:numId w:val="2"/>
        </w:numPr>
        <w:spacing w:after="30"/>
        <w:jc w:val="both"/>
        <w:rPr>
          <w:color w:val="auto"/>
          <w:sz w:val="22"/>
          <w:szCs w:val="22"/>
        </w:rPr>
      </w:pPr>
      <w:r>
        <w:rPr>
          <w:color w:val="auto"/>
          <w:sz w:val="22"/>
          <w:szCs w:val="22"/>
        </w:rPr>
        <w:t xml:space="preserve">Tasa de infecciones intrahospitalarias global y por servicios priorizados </w:t>
      </w:r>
    </w:p>
    <w:p w14:paraId="4DF3EE55" w14:textId="77777777" w:rsidR="00714941" w:rsidRDefault="00714941" w:rsidP="00552676">
      <w:pPr>
        <w:pStyle w:val="Default"/>
        <w:numPr>
          <w:ilvl w:val="0"/>
          <w:numId w:val="3"/>
        </w:numPr>
        <w:spacing w:after="30"/>
        <w:jc w:val="both"/>
        <w:rPr>
          <w:color w:val="auto"/>
          <w:sz w:val="22"/>
          <w:szCs w:val="22"/>
        </w:rPr>
      </w:pPr>
      <w:r>
        <w:rPr>
          <w:color w:val="auto"/>
          <w:sz w:val="22"/>
          <w:szCs w:val="22"/>
        </w:rPr>
        <w:t xml:space="preserve">Tasa de Mortalidad </w:t>
      </w:r>
    </w:p>
    <w:p w14:paraId="220B109E" w14:textId="77777777" w:rsidR="00714941" w:rsidRDefault="00714941" w:rsidP="00552676">
      <w:pPr>
        <w:pStyle w:val="Default"/>
        <w:numPr>
          <w:ilvl w:val="0"/>
          <w:numId w:val="3"/>
        </w:numPr>
        <w:spacing w:after="30"/>
        <w:jc w:val="both"/>
        <w:rPr>
          <w:color w:val="auto"/>
          <w:sz w:val="22"/>
          <w:szCs w:val="22"/>
        </w:rPr>
      </w:pPr>
      <w:r>
        <w:rPr>
          <w:color w:val="auto"/>
          <w:sz w:val="22"/>
          <w:szCs w:val="22"/>
        </w:rPr>
        <w:t xml:space="preserve">Tasa de Reingresos hospitalarios. </w:t>
      </w:r>
    </w:p>
    <w:p w14:paraId="1D8939CB" w14:textId="77777777" w:rsidR="00714941" w:rsidRDefault="00714941" w:rsidP="00552676">
      <w:pPr>
        <w:pStyle w:val="Default"/>
        <w:numPr>
          <w:ilvl w:val="0"/>
          <w:numId w:val="3"/>
        </w:numPr>
        <w:spacing w:after="30"/>
        <w:jc w:val="both"/>
        <w:rPr>
          <w:color w:val="auto"/>
          <w:sz w:val="22"/>
          <w:szCs w:val="22"/>
        </w:rPr>
      </w:pPr>
      <w:r>
        <w:rPr>
          <w:color w:val="auto"/>
          <w:sz w:val="22"/>
          <w:szCs w:val="22"/>
        </w:rPr>
        <w:t xml:space="preserve">Porcentaje de estudiantes en prácticas, según cupos disponibles por servicios. </w:t>
      </w:r>
    </w:p>
    <w:p w14:paraId="347AE3A8" w14:textId="77777777" w:rsidR="00714941" w:rsidRDefault="00714941" w:rsidP="00552676">
      <w:pPr>
        <w:pStyle w:val="Default"/>
        <w:numPr>
          <w:ilvl w:val="0"/>
          <w:numId w:val="3"/>
        </w:numPr>
        <w:spacing w:after="30"/>
        <w:jc w:val="both"/>
        <w:rPr>
          <w:color w:val="auto"/>
          <w:sz w:val="22"/>
          <w:szCs w:val="22"/>
        </w:rPr>
      </w:pPr>
      <w:r>
        <w:rPr>
          <w:color w:val="auto"/>
          <w:sz w:val="22"/>
          <w:szCs w:val="22"/>
        </w:rPr>
        <w:t xml:space="preserve">Tasa de caídas de pacientes </w:t>
      </w:r>
    </w:p>
    <w:p w14:paraId="1ED078E4" w14:textId="47EEEE3B" w:rsidR="00595387" w:rsidRPr="00B74F4D" w:rsidRDefault="00595387" w:rsidP="00B74F4D"/>
    <w:sectPr w:rsidR="00595387" w:rsidRPr="00B74F4D"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5B47" w14:textId="77777777" w:rsidR="00D52D38" w:rsidRDefault="00D52D38">
      <w:r>
        <w:separator/>
      </w:r>
    </w:p>
  </w:endnote>
  <w:endnote w:type="continuationSeparator" w:id="0">
    <w:p w14:paraId="685C445B" w14:textId="77777777" w:rsidR="00D52D38" w:rsidRDefault="00D5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D97B37" w14:paraId="1F4E5975" w14:textId="77777777" w:rsidTr="00D97B37">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564A4418" w14:textId="77777777" w:rsidR="00D97B37" w:rsidRDefault="00D97B37" w:rsidP="00D97B37">
          <w:pPr>
            <w:spacing w:line="256"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7A231D7D" w14:textId="77777777" w:rsidR="00D97B37" w:rsidRDefault="00D97B37" w:rsidP="00D97B37">
          <w:pPr>
            <w:spacing w:line="256"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302F3D45" w14:textId="77777777" w:rsidR="00D97B37" w:rsidRDefault="00D97B37" w:rsidP="00D97B37">
          <w:pPr>
            <w:spacing w:line="256"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D97B37" w14:paraId="7EB300E3" w14:textId="77777777" w:rsidTr="00D97B37">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1BCAABBB" w14:textId="77777777" w:rsidR="00D97B37" w:rsidRDefault="00D97B37" w:rsidP="00D97B37">
          <w:pPr>
            <w:spacing w:line="256"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492AF0B0" w14:textId="77777777" w:rsidR="00D97B37" w:rsidRDefault="00D97B37" w:rsidP="00D97B37">
          <w:pPr>
            <w:spacing w:line="256"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0F605BEB" w14:textId="77777777" w:rsidR="00D97B37" w:rsidRDefault="00D97B37" w:rsidP="00D97B37">
          <w:pPr>
            <w:spacing w:line="256" w:lineRule="auto"/>
            <w:rPr>
              <w:rFonts w:ascii="Arial" w:hAnsi="Arial" w:cs="Arial"/>
              <w:b/>
              <w:sz w:val="20"/>
              <w:szCs w:val="20"/>
            </w:rPr>
          </w:pPr>
          <w:r>
            <w:rPr>
              <w:rFonts w:ascii="Arial" w:hAnsi="Arial" w:cs="Arial"/>
              <w:b/>
              <w:sz w:val="20"/>
              <w:szCs w:val="20"/>
            </w:rPr>
            <w:t>Fecha: ABRIL 2022</w:t>
          </w:r>
        </w:p>
      </w:tc>
    </w:tr>
  </w:tbl>
  <w:p w14:paraId="7ECF4EF4" w14:textId="0947C6A1" w:rsidR="00CD2292" w:rsidRPr="00D97B37" w:rsidRDefault="00D97B37" w:rsidP="00D97B37">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893D" w14:textId="77777777" w:rsidR="00D97B37" w:rsidRDefault="00D97B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5C9E" w14:textId="77777777" w:rsidR="00D52D38" w:rsidRDefault="00D52D38">
      <w:r>
        <w:separator/>
      </w:r>
    </w:p>
  </w:footnote>
  <w:footnote w:type="continuationSeparator" w:id="0">
    <w:p w14:paraId="64273C00" w14:textId="77777777" w:rsidR="00D52D38" w:rsidRDefault="00D5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041E" w14:textId="77777777" w:rsidR="00D97B37" w:rsidRDefault="00D97B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0AF451A9" w:rsidR="008C3B15" w:rsidRPr="00D97B37" w:rsidRDefault="00714941" w:rsidP="00D97B37">
          <w:pPr>
            <w:pStyle w:val="Default"/>
            <w:jc w:val="center"/>
            <w:rPr>
              <w:color w:val="auto"/>
              <w:sz w:val="22"/>
              <w:szCs w:val="22"/>
            </w:rPr>
          </w:pPr>
          <w:r>
            <w:rPr>
              <w:b/>
              <w:bCs/>
              <w:color w:val="auto"/>
              <w:sz w:val="22"/>
              <w:szCs w:val="22"/>
            </w:rPr>
            <w:t>POLÍTICA DE PRESTACIÓN DE SERVICIOS DE SALUD</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4085F9A7" w:rsidR="008C3B15" w:rsidRPr="001E3AD7" w:rsidRDefault="008C3B15" w:rsidP="00903E21">
          <w:pPr>
            <w:pStyle w:val="Encabezado"/>
            <w:rPr>
              <w:rFonts w:ascii="Arial" w:hAnsi="Arial" w:cs="Arial"/>
              <w:b/>
            </w:rPr>
          </w:pPr>
          <w:r w:rsidRPr="001E3AD7">
            <w:rPr>
              <w:rFonts w:ascii="Arial" w:hAnsi="Arial" w:cs="Arial"/>
              <w:b/>
            </w:rPr>
            <w:t xml:space="preserve">Código: </w:t>
          </w:r>
          <w:r w:rsidR="00D97B37">
            <w:rPr>
              <w:rFonts w:ascii="Arial" w:hAnsi="Arial" w:cs="Arial"/>
              <w:b/>
            </w:rPr>
            <w:t>GD-P</w:t>
          </w:r>
          <w:r w:rsidR="00040961">
            <w:rPr>
              <w:rFonts w:ascii="Arial" w:hAnsi="Arial" w:cs="Arial"/>
              <w:b/>
            </w:rPr>
            <w:t>O</w:t>
          </w:r>
          <w:r w:rsidR="00D97B37">
            <w:rPr>
              <w:rFonts w:ascii="Arial" w:hAnsi="Arial" w:cs="Arial"/>
              <w:b/>
            </w:rPr>
            <w:t>-06</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45B2" w14:textId="77777777" w:rsidR="00D97B37" w:rsidRDefault="00D97B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AB8"/>
    <w:multiLevelType w:val="hybridMultilevel"/>
    <w:tmpl w:val="DE668B2E"/>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3B3224"/>
    <w:multiLevelType w:val="hybridMultilevel"/>
    <w:tmpl w:val="ACD28A08"/>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542F53"/>
    <w:multiLevelType w:val="hybridMultilevel"/>
    <w:tmpl w:val="61A44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62578900">
    <w:abstractNumId w:val="2"/>
  </w:num>
  <w:num w:numId="2" w16cid:durableId="292055971">
    <w:abstractNumId w:val="0"/>
  </w:num>
  <w:num w:numId="3" w16cid:durableId="3457133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096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2676"/>
    <w:rsid w:val="005565C2"/>
    <w:rsid w:val="00562D05"/>
    <w:rsid w:val="00565465"/>
    <w:rsid w:val="00585CC4"/>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14941"/>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50376"/>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2D38"/>
    <w:rsid w:val="00D54925"/>
    <w:rsid w:val="00D90EFB"/>
    <w:rsid w:val="00D94D51"/>
    <w:rsid w:val="00D95F92"/>
    <w:rsid w:val="00D97B37"/>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646B9"/>
    <w:rsid w:val="00F66FC6"/>
    <w:rsid w:val="00F829F4"/>
    <w:rsid w:val="00F844B2"/>
    <w:rsid w:val="00F846E0"/>
    <w:rsid w:val="00F90437"/>
    <w:rsid w:val="00F92027"/>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uiPriority w:val="99"/>
    <w:semiHidden/>
    <w:rsid w:val="001F154E"/>
    <w:pPr>
      <w:tabs>
        <w:tab w:val="center" w:pos="4252"/>
        <w:tab w:val="right" w:pos="8504"/>
      </w:tabs>
    </w:pPr>
  </w:style>
  <w:style w:type="character" w:customStyle="1" w:styleId="PiedepginaCar">
    <w:name w:val="Pie de página Car"/>
    <w:basedOn w:val="Fuentedeprrafopredeter"/>
    <w:link w:val="Piedepgina"/>
    <w:uiPriority w:val="99"/>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27871">
      <w:bodyDiv w:val="1"/>
      <w:marLeft w:val="0"/>
      <w:marRight w:val="0"/>
      <w:marTop w:val="0"/>
      <w:marBottom w:val="0"/>
      <w:divBdr>
        <w:top w:val="none" w:sz="0" w:space="0" w:color="auto"/>
        <w:left w:val="none" w:sz="0" w:space="0" w:color="auto"/>
        <w:bottom w:val="none" w:sz="0" w:space="0" w:color="auto"/>
        <w:right w:val="none" w:sz="0" w:space="0" w:color="auto"/>
      </w:divBdr>
    </w:div>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6</cp:revision>
  <cp:lastPrinted>2014-03-31T22:31:00Z</cp:lastPrinted>
  <dcterms:created xsi:type="dcterms:W3CDTF">2021-12-15T18:10:00Z</dcterms:created>
  <dcterms:modified xsi:type="dcterms:W3CDTF">2023-05-03T20:34:00Z</dcterms:modified>
</cp:coreProperties>
</file>