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30D3" w14:textId="77777777" w:rsidR="00974FCC" w:rsidRDefault="00974FCC" w:rsidP="00974FCC">
      <w:pPr>
        <w:pStyle w:val="Default"/>
        <w:jc w:val="both"/>
        <w:rPr>
          <w:color w:val="auto"/>
          <w:sz w:val="22"/>
          <w:szCs w:val="22"/>
        </w:rPr>
      </w:pPr>
      <w:r>
        <w:rPr>
          <w:color w:val="auto"/>
          <w:sz w:val="22"/>
          <w:szCs w:val="22"/>
        </w:rPr>
        <w:t xml:space="preserve">El Gerente de la Empresa Social del Estado Hospital Santa Isabel de San Pedro de los Milagros sus colaboradores, se comprometen a emprender acciones que permitan evitar la configuración de daños antijurídicos para la entidad, a partir de la identificación de los riesgos que subyacen en el desarrollo de sus procesos misionales y de apoyo administrativo, tras analizar las demandas, solicitudes de conciliación, procesos disciplinarios, ejecución de procesos contractuales, prestación del servicio de salud, sentencias judiciales, sanciones administrativas, peticiones, quejas y reclamos interpuestos en su contra, cumpliendo el debido proceso establecido por la normativa vigente para las acciones disciplinarias, procurando el cobro coactivo cartera y efectuando el procedimiento establecido para la contratación de bienes, servicios y obras. </w:t>
      </w:r>
    </w:p>
    <w:p w14:paraId="140DF5AF" w14:textId="77777777" w:rsidR="00974FCC" w:rsidRDefault="00974FCC" w:rsidP="00974FCC">
      <w:pPr>
        <w:pStyle w:val="Default"/>
        <w:jc w:val="both"/>
        <w:rPr>
          <w:b/>
          <w:bCs/>
          <w:color w:val="auto"/>
          <w:sz w:val="22"/>
          <w:szCs w:val="22"/>
        </w:rPr>
      </w:pPr>
    </w:p>
    <w:p w14:paraId="7696E4AE" w14:textId="77777777" w:rsidR="00974FCC" w:rsidRDefault="00974FCC" w:rsidP="00974FCC">
      <w:pPr>
        <w:pStyle w:val="Default"/>
        <w:jc w:val="both"/>
        <w:rPr>
          <w:b/>
          <w:bCs/>
          <w:color w:val="auto"/>
          <w:sz w:val="22"/>
          <w:szCs w:val="22"/>
        </w:rPr>
      </w:pPr>
      <w:r>
        <w:rPr>
          <w:b/>
          <w:bCs/>
          <w:color w:val="auto"/>
          <w:sz w:val="22"/>
          <w:szCs w:val="22"/>
        </w:rPr>
        <w:t>VALORES</w:t>
      </w:r>
    </w:p>
    <w:p w14:paraId="15CFEA90" w14:textId="77777777" w:rsidR="00974FCC" w:rsidRDefault="00974FCC" w:rsidP="00974FCC">
      <w:pPr>
        <w:pStyle w:val="Default"/>
        <w:jc w:val="both"/>
        <w:rPr>
          <w:color w:val="auto"/>
          <w:sz w:val="22"/>
          <w:szCs w:val="22"/>
        </w:rPr>
      </w:pPr>
      <w:r>
        <w:rPr>
          <w:b/>
          <w:bCs/>
          <w:color w:val="auto"/>
          <w:sz w:val="22"/>
          <w:szCs w:val="22"/>
        </w:rPr>
        <w:t xml:space="preserve"> </w:t>
      </w:r>
    </w:p>
    <w:p w14:paraId="646659D2" w14:textId="77777777" w:rsidR="00974FCC" w:rsidRDefault="00974FCC" w:rsidP="00974FCC">
      <w:pPr>
        <w:pStyle w:val="Default"/>
        <w:numPr>
          <w:ilvl w:val="0"/>
          <w:numId w:val="44"/>
        </w:numPr>
        <w:spacing w:after="66"/>
        <w:ind w:left="426"/>
        <w:jc w:val="both"/>
        <w:rPr>
          <w:color w:val="auto"/>
          <w:sz w:val="22"/>
          <w:szCs w:val="22"/>
        </w:rPr>
      </w:pPr>
      <w:r>
        <w:rPr>
          <w:color w:val="auto"/>
          <w:sz w:val="22"/>
          <w:szCs w:val="22"/>
        </w:rPr>
        <w:t xml:space="preserve">Responsabilidad </w:t>
      </w:r>
    </w:p>
    <w:p w14:paraId="4590C061" w14:textId="77777777" w:rsidR="00974FCC" w:rsidRDefault="00974FCC" w:rsidP="00974FCC">
      <w:pPr>
        <w:pStyle w:val="Default"/>
        <w:numPr>
          <w:ilvl w:val="0"/>
          <w:numId w:val="44"/>
        </w:numPr>
        <w:spacing w:after="66"/>
        <w:ind w:left="426"/>
        <w:jc w:val="both"/>
        <w:rPr>
          <w:color w:val="auto"/>
          <w:sz w:val="22"/>
          <w:szCs w:val="22"/>
        </w:rPr>
      </w:pPr>
      <w:r>
        <w:rPr>
          <w:color w:val="auto"/>
          <w:sz w:val="22"/>
          <w:szCs w:val="22"/>
        </w:rPr>
        <w:t xml:space="preserve">Respeto </w:t>
      </w:r>
    </w:p>
    <w:p w14:paraId="5D312313" w14:textId="77777777" w:rsidR="00974FCC" w:rsidRDefault="00974FCC" w:rsidP="00974FCC">
      <w:pPr>
        <w:pStyle w:val="Default"/>
        <w:numPr>
          <w:ilvl w:val="0"/>
          <w:numId w:val="44"/>
        </w:numPr>
        <w:ind w:left="426"/>
        <w:jc w:val="both"/>
        <w:rPr>
          <w:color w:val="auto"/>
          <w:sz w:val="22"/>
          <w:szCs w:val="22"/>
        </w:rPr>
      </w:pPr>
      <w:r>
        <w:rPr>
          <w:color w:val="auto"/>
          <w:sz w:val="22"/>
          <w:szCs w:val="22"/>
        </w:rPr>
        <w:t xml:space="preserve">Honestidad </w:t>
      </w:r>
    </w:p>
    <w:p w14:paraId="411B87F0" w14:textId="77777777" w:rsidR="00974FCC" w:rsidRDefault="00974FCC" w:rsidP="00974FCC">
      <w:pPr>
        <w:pStyle w:val="Default"/>
        <w:jc w:val="both"/>
        <w:rPr>
          <w:color w:val="auto"/>
          <w:sz w:val="22"/>
          <w:szCs w:val="22"/>
        </w:rPr>
      </w:pPr>
    </w:p>
    <w:p w14:paraId="583ADB93" w14:textId="77777777" w:rsidR="00974FCC" w:rsidRDefault="00974FCC" w:rsidP="00974FCC">
      <w:pPr>
        <w:pStyle w:val="Default"/>
        <w:jc w:val="both"/>
        <w:rPr>
          <w:color w:val="auto"/>
          <w:sz w:val="22"/>
          <w:szCs w:val="22"/>
        </w:rPr>
      </w:pPr>
      <w:r>
        <w:rPr>
          <w:color w:val="auto"/>
          <w:sz w:val="22"/>
          <w:szCs w:val="22"/>
        </w:rPr>
        <w:t>PRINCIPIOS</w:t>
      </w:r>
    </w:p>
    <w:p w14:paraId="65068AFD" w14:textId="77777777" w:rsidR="00974FCC" w:rsidRDefault="00974FCC" w:rsidP="00974FCC">
      <w:pPr>
        <w:pStyle w:val="Default"/>
        <w:jc w:val="both"/>
        <w:rPr>
          <w:color w:val="auto"/>
          <w:sz w:val="22"/>
          <w:szCs w:val="22"/>
        </w:rPr>
      </w:pPr>
    </w:p>
    <w:p w14:paraId="470EFE07" w14:textId="77777777" w:rsidR="00974FCC" w:rsidRDefault="00974FCC" w:rsidP="00974FCC">
      <w:pPr>
        <w:pStyle w:val="Default"/>
        <w:numPr>
          <w:ilvl w:val="0"/>
          <w:numId w:val="45"/>
        </w:numPr>
        <w:spacing w:after="68"/>
        <w:ind w:left="426"/>
        <w:jc w:val="both"/>
        <w:rPr>
          <w:color w:val="auto"/>
          <w:sz w:val="22"/>
          <w:szCs w:val="22"/>
        </w:rPr>
      </w:pPr>
      <w:r>
        <w:rPr>
          <w:color w:val="auto"/>
          <w:sz w:val="22"/>
          <w:szCs w:val="22"/>
        </w:rPr>
        <w:t xml:space="preserve">Transparencia </w:t>
      </w:r>
    </w:p>
    <w:p w14:paraId="25341E86" w14:textId="77777777" w:rsidR="00974FCC" w:rsidRDefault="00974FCC" w:rsidP="00974FCC">
      <w:pPr>
        <w:pStyle w:val="Default"/>
        <w:numPr>
          <w:ilvl w:val="0"/>
          <w:numId w:val="45"/>
        </w:numPr>
        <w:spacing w:after="68"/>
        <w:ind w:left="426"/>
        <w:jc w:val="both"/>
        <w:rPr>
          <w:color w:val="auto"/>
          <w:sz w:val="22"/>
          <w:szCs w:val="22"/>
        </w:rPr>
      </w:pPr>
      <w:r>
        <w:rPr>
          <w:color w:val="auto"/>
          <w:sz w:val="22"/>
          <w:szCs w:val="22"/>
        </w:rPr>
        <w:t xml:space="preserve">Excelencia </w:t>
      </w:r>
    </w:p>
    <w:p w14:paraId="5B83B533" w14:textId="77777777" w:rsidR="00974FCC" w:rsidRDefault="00974FCC" w:rsidP="00974FCC">
      <w:pPr>
        <w:pStyle w:val="Default"/>
        <w:numPr>
          <w:ilvl w:val="0"/>
          <w:numId w:val="45"/>
        </w:numPr>
        <w:ind w:left="426"/>
        <w:jc w:val="both"/>
        <w:rPr>
          <w:color w:val="auto"/>
          <w:sz w:val="22"/>
          <w:szCs w:val="22"/>
        </w:rPr>
      </w:pPr>
      <w:r>
        <w:rPr>
          <w:color w:val="auto"/>
          <w:sz w:val="22"/>
          <w:szCs w:val="22"/>
        </w:rPr>
        <w:t xml:space="preserve">Trabajo en equipo </w:t>
      </w:r>
    </w:p>
    <w:p w14:paraId="66CB3A0B" w14:textId="77777777" w:rsidR="00974FCC" w:rsidRDefault="00974FCC" w:rsidP="00974FCC">
      <w:pPr>
        <w:pStyle w:val="Default"/>
        <w:jc w:val="both"/>
        <w:rPr>
          <w:color w:val="auto"/>
          <w:sz w:val="22"/>
          <w:szCs w:val="22"/>
        </w:rPr>
      </w:pPr>
    </w:p>
    <w:p w14:paraId="1D7EB401" w14:textId="77777777" w:rsidR="00974FCC" w:rsidRDefault="00974FCC" w:rsidP="00974FCC">
      <w:pPr>
        <w:pStyle w:val="Default"/>
        <w:jc w:val="both"/>
        <w:rPr>
          <w:b/>
          <w:bCs/>
          <w:color w:val="auto"/>
          <w:sz w:val="22"/>
          <w:szCs w:val="22"/>
        </w:rPr>
      </w:pPr>
      <w:r>
        <w:rPr>
          <w:b/>
          <w:bCs/>
          <w:color w:val="auto"/>
          <w:sz w:val="22"/>
          <w:szCs w:val="22"/>
        </w:rPr>
        <w:t>OBJETIVOS DE LA POLÍTICA</w:t>
      </w:r>
    </w:p>
    <w:p w14:paraId="20CC5572" w14:textId="77777777" w:rsidR="00974FCC" w:rsidRDefault="00974FCC" w:rsidP="00974FCC">
      <w:pPr>
        <w:pStyle w:val="Default"/>
        <w:jc w:val="both"/>
        <w:rPr>
          <w:color w:val="auto"/>
          <w:sz w:val="22"/>
          <w:szCs w:val="22"/>
        </w:rPr>
      </w:pPr>
    </w:p>
    <w:p w14:paraId="59F6AA0A" w14:textId="77777777" w:rsidR="00974FCC" w:rsidRDefault="00974FCC" w:rsidP="00974FCC">
      <w:pPr>
        <w:pStyle w:val="Default"/>
        <w:numPr>
          <w:ilvl w:val="0"/>
          <w:numId w:val="42"/>
        </w:numPr>
        <w:spacing w:after="66"/>
        <w:ind w:left="284" w:hanging="284"/>
        <w:jc w:val="both"/>
        <w:rPr>
          <w:color w:val="auto"/>
          <w:sz w:val="22"/>
          <w:szCs w:val="22"/>
        </w:rPr>
      </w:pPr>
      <w:r>
        <w:rPr>
          <w:color w:val="auto"/>
          <w:sz w:val="22"/>
          <w:szCs w:val="22"/>
        </w:rPr>
        <w:t xml:space="preserve">Identificar los riesgos de litigiosidad de la entidad y tratar de mitigarlos. </w:t>
      </w:r>
    </w:p>
    <w:p w14:paraId="66E6213D" w14:textId="77777777" w:rsidR="00974FCC" w:rsidRDefault="00974FCC" w:rsidP="00974FCC">
      <w:pPr>
        <w:pStyle w:val="Default"/>
        <w:numPr>
          <w:ilvl w:val="0"/>
          <w:numId w:val="42"/>
        </w:numPr>
        <w:spacing w:after="66"/>
        <w:ind w:left="284" w:hanging="284"/>
        <w:jc w:val="both"/>
        <w:rPr>
          <w:color w:val="auto"/>
          <w:sz w:val="22"/>
          <w:szCs w:val="22"/>
        </w:rPr>
      </w:pPr>
      <w:r>
        <w:rPr>
          <w:color w:val="auto"/>
          <w:sz w:val="22"/>
          <w:szCs w:val="22"/>
        </w:rPr>
        <w:t xml:space="preserve">Cumplir el debido proceso establecido por la normativa vigente para las acciones disciplinarias. </w:t>
      </w:r>
    </w:p>
    <w:p w14:paraId="259618AC" w14:textId="77777777" w:rsidR="00974FCC" w:rsidRDefault="00974FCC" w:rsidP="00974FCC">
      <w:pPr>
        <w:pStyle w:val="Default"/>
        <w:numPr>
          <w:ilvl w:val="0"/>
          <w:numId w:val="42"/>
        </w:numPr>
        <w:spacing w:after="66"/>
        <w:ind w:left="284" w:hanging="284"/>
        <w:jc w:val="both"/>
        <w:rPr>
          <w:color w:val="auto"/>
          <w:sz w:val="22"/>
          <w:szCs w:val="22"/>
        </w:rPr>
      </w:pPr>
      <w:r>
        <w:rPr>
          <w:color w:val="auto"/>
          <w:sz w:val="22"/>
          <w:szCs w:val="22"/>
        </w:rPr>
        <w:t xml:space="preserve">Procurar el cobro coactivo de cartera. </w:t>
      </w:r>
    </w:p>
    <w:p w14:paraId="0A3D4D76" w14:textId="77777777" w:rsidR="00974FCC" w:rsidRDefault="00974FCC" w:rsidP="00974FCC">
      <w:pPr>
        <w:pStyle w:val="Default"/>
        <w:numPr>
          <w:ilvl w:val="0"/>
          <w:numId w:val="42"/>
        </w:numPr>
        <w:ind w:left="284" w:hanging="284"/>
        <w:jc w:val="both"/>
        <w:rPr>
          <w:color w:val="auto"/>
          <w:sz w:val="22"/>
          <w:szCs w:val="22"/>
        </w:rPr>
      </w:pPr>
      <w:r>
        <w:rPr>
          <w:color w:val="auto"/>
          <w:sz w:val="22"/>
          <w:szCs w:val="22"/>
        </w:rPr>
        <w:t xml:space="preserve">Efectuar el procedimiento establecido para la contratación de bienes, servicios y obras. </w:t>
      </w:r>
    </w:p>
    <w:p w14:paraId="6CD16C93" w14:textId="77777777" w:rsidR="00974FCC" w:rsidRDefault="00974FCC" w:rsidP="00974FCC">
      <w:pPr>
        <w:pStyle w:val="Default"/>
        <w:jc w:val="both"/>
        <w:rPr>
          <w:color w:val="auto"/>
          <w:sz w:val="22"/>
          <w:szCs w:val="22"/>
        </w:rPr>
      </w:pPr>
    </w:p>
    <w:p w14:paraId="393F32E5" w14:textId="77777777" w:rsidR="00974FCC" w:rsidRDefault="00974FCC" w:rsidP="00974FCC">
      <w:pPr>
        <w:pStyle w:val="Default"/>
        <w:jc w:val="both"/>
        <w:rPr>
          <w:b/>
          <w:bCs/>
          <w:color w:val="auto"/>
          <w:sz w:val="22"/>
          <w:szCs w:val="22"/>
        </w:rPr>
      </w:pPr>
      <w:r>
        <w:rPr>
          <w:b/>
          <w:bCs/>
          <w:color w:val="auto"/>
          <w:sz w:val="22"/>
          <w:szCs w:val="22"/>
        </w:rPr>
        <w:t>INDICADORES</w:t>
      </w:r>
    </w:p>
    <w:p w14:paraId="48905FD2" w14:textId="77777777" w:rsidR="00974FCC" w:rsidRDefault="00974FCC" w:rsidP="00974FCC">
      <w:pPr>
        <w:pStyle w:val="Default"/>
        <w:jc w:val="both"/>
        <w:rPr>
          <w:color w:val="auto"/>
          <w:sz w:val="22"/>
          <w:szCs w:val="22"/>
        </w:rPr>
      </w:pPr>
      <w:r>
        <w:rPr>
          <w:b/>
          <w:bCs/>
          <w:color w:val="auto"/>
          <w:sz w:val="22"/>
          <w:szCs w:val="22"/>
        </w:rPr>
        <w:t xml:space="preserve"> </w:t>
      </w:r>
    </w:p>
    <w:p w14:paraId="65B8D2F4" w14:textId="77777777" w:rsidR="00974FCC" w:rsidRDefault="00974FCC" w:rsidP="00974FCC">
      <w:pPr>
        <w:pStyle w:val="Default"/>
        <w:jc w:val="both"/>
        <w:rPr>
          <w:b/>
          <w:bCs/>
          <w:color w:val="auto"/>
          <w:sz w:val="22"/>
          <w:szCs w:val="22"/>
        </w:rPr>
      </w:pPr>
      <w:r>
        <w:rPr>
          <w:b/>
          <w:bCs/>
          <w:color w:val="auto"/>
          <w:sz w:val="22"/>
          <w:szCs w:val="22"/>
        </w:rPr>
        <w:t xml:space="preserve">Cumplimiento a: </w:t>
      </w:r>
    </w:p>
    <w:p w14:paraId="7E81C868" w14:textId="77777777" w:rsidR="00974FCC" w:rsidRDefault="00974FCC" w:rsidP="00974FCC">
      <w:pPr>
        <w:pStyle w:val="Default"/>
        <w:jc w:val="both"/>
        <w:rPr>
          <w:color w:val="auto"/>
          <w:sz w:val="22"/>
          <w:szCs w:val="22"/>
        </w:rPr>
      </w:pPr>
    </w:p>
    <w:p w14:paraId="53F241F4" w14:textId="77777777" w:rsidR="00974FCC" w:rsidRDefault="00974FCC" w:rsidP="00974FCC">
      <w:pPr>
        <w:pStyle w:val="Default"/>
        <w:numPr>
          <w:ilvl w:val="0"/>
          <w:numId w:val="43"/>
        </w:numPr>
        <w:spacing w:after="14"/>
        <w:ind w:left="284"/>
        <w:jc w:val="both"/>
        <w:rPr>
          <w:color w:val="auto"/>
          <w:sz w:val="22"/>
          <w:szCs w:val="22"/>
        </w:rPr>
      </w:pPr>
      <w:r>
        <w:rPr>
          <w:color w:val="auto"/>
          <w:sz w:val="22"/>
          <w:szCs w:val="22"/>
        </w:rPr>
        <w:t xml:space="preserve">Determinar el nivel de litigiosidad de la institución, a partir del análisis de los hechos en los cuales se fundan las demandas interpuestas contra la entidad y las condenas derivadas de las mismas en los últimos cinco años, a fin de establecer si los hechos generadores de controversias persisten en el tiempo y generar acciones de mejora tendientes a mitigar los riesgos evidenciados. </w:t>
      </w:r>
    </w:p>
    <w:p w14:paraId="0FD9175E" w14:textId="77777777" w:rsidR="00974FCC" w:rsidRDefault="00974FCC" w:rsidP="00974FCC">
      <w:pPr>
        <w:pStyle w:val="Default"/>
        <w:numPr>
          <w:ilvl w:val="0"/>
          <w:numId w:val="43"/>
        </w:numPr>
        <w:spacing w:after="14"/>
        <w:ind w:left="284"/>
        <w:jc w:val="both"/>
        <w:rPr>
          <w:color w:val="auto"/>
          <w:sz w:val="22"/>
          <w:szCs w:val="22"/>
        </w:rPr>
      </w:pPr>
      <w:r>
        <w:rPr>
          <w:color w:val="auto"/>
          <w:sz w:val="22"/>
          <w:szCs w:val="22"/>
        </w:rPr>
        <w:t xml:space="preserve">Evaluar la aplicación de la normativa que regula el desarrollo del proceso disciplinario. </w:t>
      </w:r>
    </w:p>
    <w:p w14:paraId="16622FF1" w14:textId="77777777" w:rsidR="00974FCC" w:rsidRDefault="00974FCC" w:rsidP="00974FCC">
      <w:pPr>
        <w:pStyle w:val="Default"/>
        <w:numPr>
          <w:ilvl w:val="0"/>
          <w:numId w:val="43"/>
        </w:numPr>
        <w:spacing w:after="14"/>
        <w:ind w:left="284"/>
        <w:jc w:val="both"/>
        <w:rPr>
          <w:color w:val="auto"/>
          <w:sz w:val="22"/>
          <w:szCs w:val="22"/>
        </w:rPr>
      </w:pPr>
      <w:r>
        <w:rPr>
          <w:color w:val="auto"/>
          <w:sz w:val="22"/>
          <w:szCs w:val="22"/>
        </w:rPr>
        <w:t xml:space="preserve">Iniciar proceso de cobro coactivo a por lo menos el 70% de las ERP con cartera igual o mayor a 180 días que sea entregada a la Oficina Asesora Jurídica. </w:t>
      </w:r>
    </w:p>
    <w:p w14:paraId="4FD5EC45" w14:textId="77777777" w:rsidR="00974FCC" w:rsidRDefault="00974FCC" w:rsidP="00974FCC">
      <w:pPr>
        <w:pStyle w:val="Default"/>
        <w:numPr>
          <w:ilvl w:val="0"/>
          <w:numId w:val="43"/>
        </w:numPr>
        <w:ind w:left="284"/>
        <w:jc w:val="both"/>
      </w:pPr>
      <w:r>
        <w:rPr>
          <w:color w:val="auto"/>
          <w:sz w:val="22"/>
          <w:szCs w:val="22"/>
        </w:rPr>
        <w:t>Realizar seguimiento a los procesos administrativos contractuales que se desarrollen en la ESE Hospital Santa Isabel de San Pedro de los Milagros en aras de verificar la aplicación de los procedimientos establecidos.</w:t>
      </w:r>
    </w:p>
    <w:p w14:paraId="1ED078E4" w14:textId="47EEEE3B" w:rsidR="00595387" w:rsidRPr="00974FCC" w:rsidRDefault="00595387" w:rsidP="00974FCC"/>
    <w:sectPr w:rsidR="00595387" w:rsidRPr="00974FCC"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3FDD" w14:textId="77777777" w:rsidR="00794258" w:rsidRDefault="00794258">
      <w:r>
        <w:separator/>
      </w:r>
    </w:p>
  </w:endnote>
  <w:endnote w:type="continuationSeparator" w:id="0">
    <w:p w14:paraId="44A756E3" w14:textId="77777777" w:rsidR="00794258" w:rsidRDefault="0079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C3684A" w14:paraId="0A218169" w14:textId="77777777" w:rsidTr="00C3684A">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7E21508B" w14:textId="77777777" w:rsidR="00C3684A" w:rsidRDefault="00C3684A" w:rsidP="00C3684A">
          <w:pPr>
            <w:spacing w:line="256"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5F1BDBB5" w14:textId="77777777" w:rsidR="00C3684A" w:rsidRDefault="00C3684A" w:rsidP="00C3684A">
          <w:pPr>
            <w:spacing w:line="256"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4AC8884B" w14:textId="77777777" w:rsidR="00C3684A" w:rsidRDefault="00C3684A" w:rsidP="00C3684A">
          <w:pPr>
            <w:spacing w:line="256"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C3684A" w14:paraId="2B08FE19" w14:textId="77777777" w:rsidTr="00C3684A">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426E5CA8" w14:textId="77777777" w:rsidR="00C3684A" w:rsidRDefault="00C3684A" w:rsidP="00C3684A">
          <w:pPr>
            <w:spacing w:line="256"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1EE565C3" w14:textId="77777777" w:rsidR="00C3684A" w:rsidRDefault="00C3684A" w:rsidP="00C3684A">
          <w:pPr>
            <w:spacing w:line="256"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617D9D50" w14:textId="77777777" w:rsidR="00C3684A" w:rsidRDefault="00C3684A" w:rsidP="00C3684A">
          <w:pPr>
            <w:spacing w:line="256" w:lineRule="auto"/>
            <w:rPr>
              <w:rFonts w:ascii="Arial" w:hAnsi="Arial" w:cs="Arial"/>
              <w:b/>
              <w:sz w:val="20"/>
              <w:szCs w:val="20"/>
            </w:rPr>
          </w:pPr>
          <w:r>
            <w:rPr>
              <w:rFonts w:ascii="Arial" w:hAnsi="Arial" w:cs="Arial"/>
              <w:b/>
              <w:sz w:val="20"/>
              <w:szCs w:val="20"/>
            </w:rPr>
            <w:t>Fecha: ABRIL 2022</w:t>
          </w:r>
        </w:p>
      </w:tc>
    </w:tr>
  </w:tbl>
  <w:p w14:paraId="7ECF4EF4" w14:textId="431135D5" w:rsidR="00CD2292" w:rsidRPr="00C3684A" w:rsidRDefault="00C3684A" w:rsidP="00C3684A">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D361" w14:textId="77777777" w:rsidR="00C3684A" w:rsidRDefault="00C36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61EE" w14:textId="77777777" w:rsidR="00794258" w:rsidRDefault="00794258">
      <w:r>
        <w:separator/>
      </w:r>
    </w:p>
  </w:footnote>
  <w:footnote w:type="continuationSeparator" w:id="0">
    <w:p w14:paraId="1E07B3EC" w14:textId="77777777" w:rsidR="00794258" w:rsidRDefault="0079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5C60" w14:textId="77777777" w:rsidR="00C3684A" w:rsidRDefault="00C368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3DCE9607" w:rsidR="008C3B15" w:rsidRPr="00F65949" w:rsidRDefault="00974FCC" w:rsidP="00C3684A">
          <w:pPr>
            <w:pStyle w:val="Default"/>
            <w:jc w:val="center"/>
            <w:rPr>
              <w:b/>
              <w:bCs/>
            </w:rPr>
          </w:pPr>
          <w:r>
            <w:rPr>
              <w:b/>
              <w:bCs/>
              <w:color w:val="auto"/>
              <w:sz w:val="22"/>
              <w:szCs w:val="22"/>
            </w:rPr>
            <w:t>POLÍTICA DE DEFENSA JURÍDICA</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3E6C0A45" w:rsidR="008C3B15" w:rsidRPr="001E3AD7" w:rsidRDefault="008C3B15" w:rsidP="00903E21">
          <w:pPr>
            <w:pStyle w:val="Encabezado"/>
            <w:rPr>
              <w:rFonts w:ascii="Arial" w:hAnsi="Arial" w:cs="Arial"/>
              <w:b/>
            </w:rPr>
          </w:pPr>
          <w:r w:rsidRPr="001E3AD7">
            <w:rPr>
              <w:rFonts w:ascii="Arial" w:hAnsi="Arial" w:cs="Arial"/>
              <w:b/>
            </w:rPr>
            <w:t xml:space="preserve">Código: </w:t>
          </w:r>
          <w:r w:rsidR="007F020D">
            <w:rPr>
              <w:rFonts w:ascii="Arial" w:hAnsi="Arial" w:cs="Arial"/>
              <w:b/>
            </w:rPr>
            <w:t>GD-P</w:t>
          </w:r>
          <w:r w:rsidR="006167FF">
            <w:rPr>
              <w:rFonts w:ascii="Arial" w:hAnsi="Arial" w:cs="Arial"/>
              <w:b/>
            </w:rPr>
            <w:t>O</w:t>
          </w:r>
          <w:r w:rsidR="007F020D">
            <w:rPr>
              <w:rFonts w:ascii="Arial" w:hAnsi="Arial" w:cs="Arial"/>
              <w:b/>
            </w:rPr>
            <w:t>-</w:t>
          </w:r>
          <w:r w:rsidR="00190989">
            <w:rPr>
              <w:rFonts w:ascii="Arial" w:hAnsi="Arial" w:cs="Arial"/>
              <w:b/>
            </w:rPr>
            <w:t>04</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6216" w14:textId="77777777" w:rsidR="00C3684A" w:rsidRDefault="00C368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DDDA8"/>
    <w:multiLevelType w:val="hybridMultilevel"/>
    <w:tmpl w:val="35B53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5E20ED"/>
    <w:multiLevelType w:val="hybridMultilevel"/>
    <w:tmpl w:val="3CA9F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8085C"/>
    <w:multiLevelType w:val="hybridMultilevel"/>
    <w:tmpl w:val="CEF89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7B3267"/>
    <w:multiLevelType w:val="hybridMultilevel"/>
    <w:tmpl w:val="E1062026"/>
    <w:lvl w:ilvl="0" w:tplc="06924E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A93DB2"/>
    <w:multiLevelType w:val="hybridMultilevel"/>
    <w:tmpl w:val="43ACA89E"/>
    <w:lvl w:ilvl="0" w:tplc="12E656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7047B2"/>
    <w:multiLevelType w:val="hybridMultilevel"/>
    <w:tmpl w:val="A0CE9FC2"/>
    <w:lvl w:ilvl="0" w:tplc="D6947A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5315B1"/>
    <w:multiLevelType w:val="hybridMultilevel"/>
    <w:tmpl w:val="C080A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1B1D83"/>
    <w:multiLevelType w:val="hybridMultilevel"/>
    <w:tmpl w:val="D8A82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0A35E9"/>
    <w:multiLevelType w:val="hybridMultilevel"/>
    <w:tmpl w:val="E6A87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B25B37"/>
    <w:multiLevelType w:val="hybridMultilevel"/>
    <w:tmpl w:val="3E42B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F77CD0"/>
    <w:multiLevelType w:val="hybridMultilevel"/>
    <w:tmpl w:val="26C84060"/>
    <w:lvl w:ilvl="0" w:tplc="1B8889A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D66886"/>
    <w:multiLevelType w:val="hybridMultilevel"/>
    <w:tmpl w:val="85E8AB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F523FEA"/>
    <w:multiLevelType w:val="hybridMultilevel"/>
    <w:tmpl w:val="6EF669B8"/>
    <w:lvl w:ilvl="0" w:tplc="75A26A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FE60AE"/>
    <w:multiLevelType w:val="multilevel"/>
    <w:tmpl w:val="8CAE64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64E2B46"/>
    <w:multiLevelType w:val="hybridMultilevel"/>
    <w:tmpl w:val="D062E5FC"/>
    <w:lvl w:ilvl="0" w:tplc="06924E00">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2ADB7FE1"/>
    <w:multiLevelType w:val="hybridMultilevel"/>
    <w:tmpl w:val="E31689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C712E6"/>
    <w:multiLevelType w:val="hybridMultilevel"/>
    <w:tmpl w:val="6512EFF0"/>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08F187E"/>
    <w:multiLevelType w:val="hybridMultilevel"/>
    <w:tmpl w:val="A2FC44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D10543"/>
    <w:multiLevelType w:val="hybridMultilevel"/>
    <w:tmpl w:val="13B214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9269D4"/>
    <w:multiLevelType w:val="hybridMultilevel"/>
    <w:tmpl w:val="783641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35E67592"/>
    <w:multiLevelType w:val="hybridMultilevel"/>
    <w:tmpl w:val="6C2674D2"/>
    <w:lvl w:ilvl="0" w:tplc="7FCC1E3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6E07FA0"/>
    <w:multiLevelType w:val="hybridMultilevel"/>
    <w:tmpl w:val="7F2091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0B513B"/>
    <w:multiLevelType w:val="hybridMultilevel"/>
    <w:tmpl w:val="BB7C061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ED64A21"/>
    <w:multiLevelType w:val="hybridMultilevel"/>
    <w:tmpl w:val="C92E7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FBB2FB6"/>
    <w:multiLevelType w:val="hybridMultilevel"/>
    <w:tmpl w:val="F1328D12"/>
    <w:lvl w:ilvl="0" w:tplc="15A84FAC">
      <w:start w:val="30"/>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5" w15:restartNumberingAfterBreak="0">
    <w:nsid w:val="40D74715"/>
    <w:multiLevelType w:val="hybridMultilevel"/>
    <w:tmpl w:val="09484F0A"/>
    <w:lvl w:ilvl="0" w:tplc="87C8AA64">
      <w:start w:val="1"/>
      <w:numFmt w:val="decimal"/>
      <w:lvlText w:val="%1."/>
      <w:lvlJc w:val="left"/>
      <w:pPr>
        <w:ind w:left="360" w:hanging="360"/>
      </w:pPr>
      <w:rPr>
        <w:rFonts w:ascii="Arial" w:hAnsi="Arial" w:hint="default"/>
        <w:b w:val="0"/>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9254AB0"/>
    <w:multiLevelType w:val="hybridMultilevel"/>
    <w:tmpl w:val="0262ADEC"/>
    <w:lvl w:ilvl="0" w:tplc="24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9576045"/>
    <w:multiLevelType w:val="hybridMultilevel"/>
    <w:tmpl w:val="1C5C40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9713BC7"/>
    <w:multiLevelType w:val="hybridMultilevel"/>
    <w:tmpl w:val="16806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C38423C"/>
    <w:multiLevelType w:val="hybridMultilevel"/>
    <w:tmpl w:val="54E89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5B70A4"/>
    <w:multiLevelType w:val="hybridMultilevel"/>
    <w:tmpl w:val="36667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DE0515A"/>
    <w:multiLevelType w:val="hybridMultilevel"/>
    <w:tmpl w:val="5D9A6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E582562"/>
    <w:multiLevelType w:val="hybridMultilevel"/>
    <w:tmpl w:val="2408C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F495F72"/>
    <w:multiLevelType w:val="hybridMultilevel"/>
    <w:tmpl w:val="7EC247A0"/>
    <w:lvl w:ilvl="0" w:tplc="B71EAE48">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0DD7BB6"/>
    <w:multiLevelType w:val="hybridMultilevel"/>
    <w:tmpl w:val="C9D68EA8"/>
    <w:lvl w:ilvl="0" w:tplc="929014FE">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20C4B92"/>
    <w:multiLevelType w:val="hybridMultilevel"/>
    <w:tmpl w:val="9BCC7D26"/>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54DA67A7"/>
    <w:multiLevelType w:val="hybridMultilevel"/>
    <w:tmpl w:val="8682AC00"/>
    <w:lvl w:ilvl="0" w:tplc="5BEA81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776E71"/>
    <w:multiLevelType w:val="hybridMultilevel"/>
    <w:tmpl w:val="7F0EB8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707644E"/>
    <w:multiLevelType w:val="hybridMultilevel"/>
    <w:tmpl w:val="AD44AC2C"/>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7912788"/>
    <w:multiLevelType w:val="hybridMultilevel"/>
    <w:tmpl w:val="C506077E"/>
    <w:lvl w:ilvl="0" w:tplc="4D620A70">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81D1CB5"/>
    <w:multiLevelType w:val="hybridMultilevel"/>
    <w:tmpl w:val="73B1A8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B9F7BA9"/>
    <w:multiLevelType w:val="hybridMultilevel"/>
    <w:tmpl w:val="ADB6C0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09F501D"/>
    <w:multiLevelType w:val="hybridMultilevel"/>
    <w:tmpl w:val="80E6645E"/>
    <w:lvl w:ilvl="0" w:tplc="A7F4DCE8">
      <w:start w:val="1"/>
      <w:numFmt w:val="decimal"/>
      <w:lvlText w:val="%1."/>
      <w:lvlJc w:val="left"/>
      <w:pPr>
        <w:ind w:left="72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B9D113A"/>
    <w:multiLevelType w:val="hybridMultilevel"/>
    <w:tmpl w:val="03FAF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BF81D8D"/>
    <w:multiLevelType w:val="hybridMultilevel"/>
    <w:tmpl w:val="83AAA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5363553">
    <w:abstractNumId w:val="24"/>
  </w:num>
  <w:num w:numId="2" w16cid:durableId="194196833">
    <w:abstractNumId w:val="21"/>
  </w:num>
  <w:num w:numId="3" w16cid:durableId="103034895">
    <w:abstractNumId w:val="11"/>
  </w:num>
  <w:num w:numId="4" w16cid:durableId="1123885858">
    <w:abstractNumId w:val="31"/>
  </w:num>
  <w:num w:numId="5" w16cid:durableId="1535339751">
    <w:abstractNumId w:val="19"/>
  </w:num>
  <w:num w:numId="6" w16cid:durableId="327440806">
    <w:abstractNumId w:val="6"/>
  </w:num>
  <w:num w:numId="7" w16cid:durableId="470948419">
    <w:abstractNumId w:val="13"/>
  </w:num>
  <w:num w:numId="8" w16cid:durableId="985746110">
    <w:abstractNumId w:val="8"/>
  </w:num>
  <w:num w:numId="9" w16cid:durableId="1647585522">
    <w:abstractNumId w:val="18"/>
  </w:num>
  <w:num w:numId="10" w16cid:durableId="1662731964">
    <w:abstractNumId w:val="29"/>
  </w:num>
  <w:num w:numId="11" w16cid:durableId="1983151801">
    <w:abstractNumId w:val="17"/>
  </w:num>
  <w:num w:numId="12" w16cid:durableId="438109437">
    <w:abstractNumId w:val="27"/>
  </w:num>
  <w:num w:numId="13" w16cid:durableId="2077043053">
    <w:abstractNumId w:val="43"/>
  </w:num>
  <w:num w:numId="14" w16cid:durableId="1002780421">
    <w:abstractNumId w:val="22"/>
  </w:num>
  <w:num w:numId="15" w16cid:durableId="1765493553">
    <w:abstractNumId w:val="26"/>
  </w:num>
  <w:num w:numId="16" w16cid:durableId="74130229">
    <w:abstractNumId w:val="2"/>
  </w:num>
  <w:num w:numId="17" w16cid:durableId="2071266401">
    <w:abstractNumId w:val="41"/>
  </w:num>
  <w:num w:numId="18" w16cid:durableId="447745048">
    <w:abstractNumId w:val="7"/>
  </w:num>
  <w:num w:numId="19" w16cid:durableId="2005083458">
    <w:abstractNumId w:val="37"/>
  </w:num>
  <w:num w:numId="20" w16cid:durableId="1725905346">
    <w:abstractNumId w:val="30"/>
  </w:num>
  <w:num w:numId="21" w16cid:durableId="1022515322">
    <w:abstractNumId w:val="5"/>
  </w:num>
  <w:num w:numId="22" w16cid:durableId="1087918185">
    <w:abstractNumId w:val="39"/>
  </w:num>
  <w:num w:numId="23" w16cid:durableId="587272671">
    <w:abstractNumId w:val="4"/>
  </w:num>
  <w:num w:numId="24" w16cid:durableId="1027371600">
    <w:abstractNumId w:val="36"/>
  </w:num>
  <w:num w:numId="25" w16cid:durableId="637419939">
    <w:abstractNumId w:val="12"/>
  </w:num>
  <w:num w:numId="26" w16cid:durableId="1249533951">
    <w:abstractNumId w:val="33"/>
  </w:num>
  <w:num w:numId="27" w16cid:durableId="275790549">
    <w:abstractNumId w:val="16"/>
  </w:num>
  <w:num w:numId="28" w16cid:durableId="1007903576">
    <w:abstractNumId w:val="3"/>
  </w:num>
  <w:num w:numId="29" w16cid:durableId="682051546">
    <w:abstractNumId w:val="20"/>
  </w:num>
  <w:num w:numId="30" w16cid:durableId="362100011">
    <w:abstractNumId w:val="14"/>
  </w:num>
  <w:num w:numId="31" w16cid:durableId="1503932329">
    <w:abstractNumId w:val="38"/>
  </w:num>
  <w:num w:numId="32" w16cid:durableId="695081420">
    <w:abstractNumId w:val="35"/>
  </w:num>
  <w:num w:numId="33" w16cid:durableId="396482">
    <w:abstractNumId w:val="25"/>
  </w:num>
  <w:num w:numId="34" w16cid:durableId="1698432765">
    <w:abstractNumId w:val="10"/>
  </w:num>
  <w:num w:numId="35" w16cid:durableId="50426676">
    <w:abstractNumId w:val="42"/>
  </w:num>
  <w:num w:numId="36" w16cid:durableId="205486044">
    <w:abstractNumId w:val="0"/>
  </w:num>
  <w:num w:numId="37" w16cid:durableId="1776754036">
    <w:abstractNumId w:val="15"/>
  </w:num>
  <w:num w:numId="38" w16cid:durableId="2123108468">
    <w:abstractNumId w:val="40"/>
  </w:num>
  <w:num w:numId="39" w16cid:durableId="1562981865">
    <w:abstractNumId w:val="32"/>
  </w:num>
  <w:num w:numId="40" w16cid:durableId="377432416">
    <w:abstractNumId w:val="23"/>
  </w:num>
  <w:num w:numId="41" w16cid:durableId="390231640">
    <w:abstractNumId w:val="34"/>
  </w:num>
  <w:num w:numId="42" w16cid:durableId="54280932">
    <w:abstractNumId w:val="1"/>
  </w:num>
  <w:num w:numId="43" w16cid:durableId="273174351">
    <w:abstractNumId w:val="44"/>
  </w:num>
  <w:num w:numId="44" w16cid:durableId="1503467759">
    <w:abstractNumId w:val="9"/>
  </w:num>
  <w:num w:numId="45" w16cid:durableId="12115777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0989"/>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29F3"/>
    <w:rsid w:val="00306A64"/>
    <w:rsid w:val="0031453F"/>
    <w:rsid w:val="00325A0E"/>
    <w:rsid w:val="00330E54"/>
    <w:rsid w:val="00331F6B"/>
    <w:rsid w:val="00332B79"/>
    <w:rsid w:val="003361E6"/>
    <w:rsid w:val="0034067E"/>
    <w:rsid w:val="00342D7C"/>
    <w:rsid w:val="003444DE"/>
    <w:rsid w:val="003479EA"/>
    <w:rsid w:val="00362128"/>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DC7"/>
    <w:rsid w:val="005872B4"/>
    <w:rsid w:val="00590742"/>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167FF"/>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2500B"/>
    <w:rsid w:val="00727BAF"/>
    <w:rsid w:val="00731E6F"/>
    <w:rsid w:val="0073353B"/>
    <w:rsid w:val="00735FD3"/>
    <w:rsid w:val="00744931"/>
    <w:rsid w:val="00751784"/>
    <w:rsid w:val="00781630"/>
    <w:rsid w:val="00781D86"/>
    <w:rsid w:val="00785F41"/>
    <w:rsid w:val="00786450"/>
    <w:rsid w:val="00787BAB"/>
    <w:rsid w:val="00794258"/>
    <w:rsid w:val="007C4375"/>
    <w:rsid w:val="007D1151"/>
    <w:rsid w:val="007D51DB"/>
    <w:rsid w:val="007D758B"/>
    <w:rsid w:val="007E0D2E"/>
    <w:rsid w:val="007E28C9"/>
    <w:rsid w:val="007E61A8"/>
    <w:rsid w:val="007F020D"/>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1CFB"/>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2325"/>
    <w:rsid w:val="00B706FA"/>
    <w:rsid w:val="00B7086F"/>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3684A"/>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3FF6"/>
    <w:rsid w:val="00E02ED4"/>
    <w:rsid w:val="00E03704"/>
    <w:rsid w:val="00E05983"/>
    <w:rsid w:val="00E13D55"/>
    <w:rsid w:val="00E153CE"/>
    <w:rsid w:val="00E15699"/>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646B9"/>
    <w:rsid w:val="00F66FC6"/>
    <w:rsid w:val="00F829F4"/>
    <w:rsid w:val="00F844B2"/>
    <w:rsid w:val="00F846E0"/>
    <w:rsid w:val="00F90437"/>
    <w:rsid w:val="00F92027"/>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uiPriority w:val="99"/>
    <w:semiHidden/>
    <w:rsid w:val="001F154E"/>
    <w:pPr>
      <w:tabs>
        <w:tab w:val="center" w:pos="4252"/>
        <w:tab w:val="right" w:pos="8504"/>
      </w:tabs>
    </w:pPr>
  </w:style>
  <w:style w:type="character" w:customStyle="1" w:styleId="PiedepginaCar">
    <w:name w:val="Pie de página Car"/>
    <w:basedOn w:val="Fuentedeprrafopredeter"/>
    <w:link w:val="Piedepgina"/>
    <w:uiPriority w:val="99"/>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199297730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8</cp:revision>
  <cp:lastPrinted>2014-03-31T22:31:00Z</cp:lastPrinted>
  <dcterms:created xsi:type="dcterms:W3CDTF">2021-12-15T18:05:00Z</dcterms:created>
  <dcterms:modified xsi:type="dcterms:W3CDTF">2023-05-03T20:33:00Z</dcterms:modified>
</cp:coreProperties>
</file>