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C698B" w14:textId="77777777" w:rsidR="00B91FFA" w:rsidRDefault="00B91FFA" w:rsidP="00B91FFA">
      <w:pPr>
        <w:jc w:val="center"/>
        <w:rPr>
          <w:b/>
        </w:rPr>
      </w:pPr>
    </w:p>
    <w:p w14:paraId="5ED9D68E" w14:textId="77777777" w:rsidR="00B91FFA" w:rsidRDefault="00B91FFA" w:rsidP="00B91FFA">
      <w:pPr>
        <w:jc w:val="center"/>
        <w:rPr>
          <w:b/>
        </w:rPr>
      </w:pPr>
    </w:p>
    <w:p w14:paraId="6608F65A" w14:textId="77777777" w:rsidR="00B91FFA" w:rsidRDefault="00B91FFA" w:rsidP="00B91FFA">
      <w:pPr>
        <w:jc w:val="center"/>
        <w:rPr>
          <w:b/>
        </w:rPr>
      </w:pPr>
    </w:p>
    <w:p w14:paraId="00DFC2B3" w14:textId="77777777" w:rsidR="00B91FFA" w:rsidRDefault="00B91FFA" w:rsidP="00B91FFA">
      <w:pPr>
        <w:jc w:val="center"/>
        <w:rPr>
          <w:b/>
        </w:rPr>
      </w:pPr>
    </w:p>
    <w:p w14:paraId="233D0500" w14:textId="77777777" w:rsidR="00B91FFA" w:rsidRDefault="00B91FFA" w:rsidP="00B91FFA">
      <w:pPr>
        <w:jc w:val="center"/>
        <w:rPr>
          <w:b/>
        </w:rPr>
      </w:pPr>
    </w:p>
    <w:p w14:paraId="76F59EC6" w14:textId="77777777" w:rsidR="00B91FFA" w:rsidRDefault="00B91FFA" w:rsidP="00B91FFA">
      <w:pPr>
        <w:jc w:val="center"/>
        <w:rPr>
          <w:b/>
        </w:rPr>
      </w:pPr>
    </w:p>
    <w:p w14:paraId="47D90C1A" w14:textId="77777777" w:rsidR="00962051" w:rsidRDefault="00B91FFA" w:rsidP="00B91FFA">
      <w:pPr>
        <w:jc w:val="center"/>
        <w:rPr>
          <w:b/>
        </w:rPr>
      </w:pPr>
      <w:r w:rsidRPr="00B91FFA">
        <w:rPr>
          <w:b/>
        </w:rPr>
        <w:t>INFORME COMPARATIVO SOBRE AUSTERIDAD Y EFICIENCIA DEL GASTO PÚBLICO DE LA E.S.E. HOSPITAL SANTA ISABEL- PRIMER TRIMESTRE 2020 - PRIMER TRIMESTRE 2019</w:t>
      </w:r>
    </w:p>
    <w:p w14:paraId="6CB20E8B" w14:textId="77777777" w:rsidR="00B91FFA" w:rsidRDefault="00B91FFA" w:rsidP="00B91FFA">
      <w:pPr>
        <w:jc w:val="center"/>
        <w:rPr>
          <w:b/>
        </w:rPr>
      </w:pPr>
    </w:p>
    <w:p w14:paraId="05E4E72E" w14:textId="77777777" w:rsidR="00B91FFA" w:rsidRDefault="00B91FFA" w:rsidP="00B91FFA">
      <w:pPr>
        <w:jc w:val="center"/>
        <w:rPr>
          <w:b/>
        </w:rPr>
      </w:pPr>
    </w:p>
    <w:p w14:paraId="39858CC7" w14:textId="77777777" w:rsidR="00B91FFA" w:rsidRPr="00B91FFA" w:rsidRDefault="00B91FFA" w:rsidP="00B91FFA">
      <w:pPr>
        <w:jc w:val="center"/>
        <w:rPr>
          <w:b/>
        </w:rPr>
      </w:pPr>
    </w:p>
    <w:p w14:paraId="5376898E" w14:textId="77777777" w:rsidR="00B91FFA" w:rsidRPr="00B91FFA" w:rsidRDefault="00B91FFA" w:rsidP="00B91FFA">
      <w:pPr>
        <w:jc w:val="center"/>
        <w:rPr>
          <w:b/>
        </w:rPr>
      </w:pPr>
    </w:p>
    <w:p w14:paraId="0587EF92" w14:textId="77777777" w:rsidR="00B91FFA" w:rsidRPr="00B91FFA" w:rsidRDefault="00B91FFA" w:rsidP="00B91FFA">
      <w:pPr>
        <w:jc w:val="center"/>
        <w:rPr>
          <w:b/>
        </w:rPr>
      </w:pPr>
    </w:p>
    <w:p w14:paraId="4AFE657E" w14:textId="77777777" w:rsidR="00B91FFA" w:rsidRDefault="00B91FFA" w:rsidP="00B91FFA">
      <w:pPr>
        <w:jc w:val="center"/>
        <w:rPr>
          <w:b/>
        </w:rPr>
      </w:pPr>
    </w:p>
    <w:p w14:paraId="1C88681F" w14:textId="77777777" w:rsidR="00B91FFA" w:rsidRPr="00B91FFA" w:rsidRDefault="00B91FFA" w:rsidP="00B91FFA">
      <w:pPr>
        <w:jc w:val="center"/>
        <w:rPr>
          <w:b/>
        </w:rPr>
      </w:pPr>
    </w:p>
    <w:p w14:paraId="380F1C78" w14:textId="77777777" w:rsidR="00B91FFA" w:rsidRPr="00B91FFA" w:rsidRDefault="00B91FFA" w:rsidP="00B91FFA">
      <w:pPr>
        <w:jc w:val="center"/>
        <w:rPr>
          <w:b/>
        </w:rPr>
      </w:pPr>
    </w:p>
    <w:p w14:paraId="36C3EBB4" w14:textId="77777777" w:rsidR="00B91FFA" w:rsidRPr="00B91FFA" w:rsidRDefault="00B91FFA" w:rsidP="00B91FFA">
      <w:pPr>
        <w:jc w:val="center"/>
        <w:rPr>
          <w:b/>
        </w:rPr>
      </w:pPr>
    </w:p>
    <w:p w14:paraId="15363681" w14:textId="77777777" w:rsidR="00B91FFA" w:rsidRPr="00B91FFA" w:rsidRDefault="00CC12FB" w:rsidP="00B91FFA">
      <w:pPr>
        <w:jc w:val="center"/>
        <w:rPr>
          <w:b/>
        </w:rPr>
      </w:pPr>
      <w:r>
        <w:rPr>
          <w:b/>
        </w:rPr>
        <w:t>CARLOS ALEJANDRO RESTREPO VELÁSQUEZ</w:t>
      </w:r>
      <w:r w:rsidR="00B91FFA" w:rsidRPr="00B91FFA">
        <w:rPr>
          <w:b/>
        </w:rPr>
        <w:t xml:space="preserve"> </w:t>
      </w:r>
      <w:r w:rsidR="00B91FFA">
        <w:rPr>
          <w:b/>
        </w:rPr>
        <w:t xml:space="preserve">- </w:t>
      </w:r>
      <w:r w:rsidR="00B91FFA" w:rsidRPr="00B91FFA">
        <w:rPr>
          <w:b/>
        </w:rPr>
        <w:t>Gerente</w:t>
      </w:r>
    </w:p>
    <w:p w14:paraId="5BD5ABBC" w14:textId="77777777" w:rsidR="00B91FFA" w:rsidRPr="00B91FFA" w:rsidRDefault="00B91FFA" w:rsidP="00B91FFA">
      <w:pPr>
        <w:jc w:val="center"/>
        <w:rPr>
          <w:b/>
        </w:rPr>
      </w:pPr>
    </w:p>
    <w:p w14:paraId="2F2A1FF8" w14:textId="77777777" w:rsidR="00B91FFA" w:rsidRPr="00B91FFA" w:rsidRDefault="00B91FFA" w:rsidP="00B91FFA">
      <w:pPr>
        <w:jc w:val="center"/>
        <w:rPr>
          <w:b/>
        </w:rPr>
      </w:pPr>
    </w:p>
    <w:p w14:paraId="7E192A4F" w14:textId="77777777" w:rsidR="00B91FFA" w:rsidRPr="00B91FFA" w:rsidRDefault="00B91FFA" w:rsidP="00B91FFA">
      <w:pPr>
        <w:jc w:val="center"/>
        <w:rPr>
          <w:b/>
        </w:rPr>
      </w:pPr>
      <w:r>
        <w:rPr>
          <w:b/>
        </w:rPr>
        <w:t xml:space="preserve">MARÍA ELENA LONDOÑO MEDINA </w:t>
      </w:r>
      <w:r w:rsidR="00F01BA7">
        <w:rPr>
          <w:b/>
        </w:rPr>
        <w:t>–</w:t>
      </w:r>
      <w:r w:rsidRPr="00B91FFA">
        <w:rPr>
          <w:b/>
        </w:rPr>
        <w:t xml:space="preserve"> </w:t>
      </w:r>
      <w:r w:rsidR="00F01BA7">
        <w:rPr>
          <w:b/>
        </w:rPr>
        <w:t xml:space="preserve">Asesora </w:t>
      </w:r>
      <w:r w:rsidRPr="00B91FFA">
        <w:rPr>
          <w:b/>
        </w:rPr>
        <w:t>Control Interno</w:t>
      </w:r>
    </w:p>
    <w:p w14:paraId="267901E7" w14:textId="77777777" w:rsidR="00B91FFA" w:rsidRPr="00B91FFA" w:rsidRDefault="00B91FFA" w:rsidP="00B91FFA">
      <w:pPr>
        <w:jc w:val="center"/>
        <w:rPr>
          <w:b/>
        </w:rPr>
      </w:pPr>
    </w:p>
    <w:p w14:paraId="0B4AAF4C" w14:textId="77777777" w:rsidR="00B91FFA" w:rsidRPr="00B91FFA" w:rsidRDefault="00B91FFA" w:rsidP="00B91FFA">
      <w:pPr>
        <w:jc w:val="center"/>
        <w:rPr>
          <w:b/>
        </w:rPr>
      </w:pPr>
    </w:p>
    <w:p w14:paraId="4B33A8D0" w14:textId="77777777" w:rsidR="00B91FFA" w:rsidRDefault="00B91FFA" w:rsidP="00B91FFA">
      <w:pPr>
        <w:jc w:val="center"/>
        <w:rPr>
          <w:b/>
        </w:rPr>
      </w:pPr>
    </w:p>
    <w:p w14:paraId="17E001DE" w14:textId="77777777" w:rsidR="00B91FFA" w:rsidRPr="00B91FFA" w:rsidRDefault="00B91FFA" w:rsidP="00B91FFA">
      <w:pPr>
        <w:jc w:val="center"/>
        <w:rPr>
          <w:b/>
        </w:rPr>
      </w:pPr>
    </w:p>
    <w:p w14:paraId="07B44E02" w14:textId="77777777" w:rsidR="00B91FFA" w:rsidRPr="00B91FFA" w:rsidRDefault="00B91FFA" w:rsidP="00B91FFA">
      <w:pPr>
        <w:jc w:val="center"/>
        <w:rPr>
          <w:b/>
        </w:rPr>
      </w:pPr>
    </w:p>
    <w:p w14:paraId="2B216A96" w14:textId="77777777" w:rsidR="00B91FFA" w:rsidRPr="00B91FFA" w:rsidRDefault="00B91FFA" w:rsidP="00B91FFA">
      <w:pPr>
        <w:jc w:val="center"/>
        <w:rPr>
          <w:b/>
        </w:rPr>
      </w:pPr>
    </w:p>
    <w:p w14:paraId="3C02B763" w14:textId="77777777" w:rsidR="00B91FFA" w:rsidRPr="00B91FFA" w:rsidRDefault="00B91FFA" w:rsidP="00B91FFA">
      <w:pPr>
        <w:jc w:val="center"/>
        <w:rPr>
          <w:b/>
        </w:rPr>
      </w:pPr>
    </w:p>
    <w:p w14:paraId="4F4221F6" w14:textId="77777777" w:rsidR="00B91FFA" w:rsidRPr="00B91FFA" w:rsidRDefault="00B91FFA" w:rsidP="00B91FFA">
      <w:pPr>
        <w:jc w:val="center"/>
        <w:rPr>
          <w:b/>
        </w:rPr>
      </w:pPr>
    </w:p>
    <w:p w14:paraId="371DC1C5" w14:textId="420E606C" w:rsidR="00B91FFA" w:rsidRPr="00B91FFA" w:rsidRDefault="00AD1EFA" w:rsidP="00B91FFA">
      <w:pPr>
        <w:jc w:val="center"/>
        <w:rPr>
          <w:b/>
        </w:rPr>
      </w:pPr>
      <w:r>
        <w:rPr>
          <w:b/>
        </w:rPr>
        <w:t>ABRIL 10</w:t>
      </w:r>
      <w:r w:rsidR="00B91FFA">
        <w:rPr>
          <w:b/>
        </w:rPr>
        <w:t xml:space="preserve"> DE 2020</w:t>
      </w:r>
    </w:p>
    <w:p w14:paraId="0B9F6F85" w14:textId="77777777" w:rsidR="00B91FFA" w:rsidRDefault="00B91FFA" w:rsidP="00B91FFA">
      <w:pPr>
        <w:jc w:val="center"/>
        <w:rPr>
          <w:b/>
        </w:rPr>
      </w:pPr>
    </w:p>
    <w:p w14:paraId="7E8609B2" w14:textId="77777777" w:rsidR="00B91FFA" w:rsidRDefault="00B91FFA" w:rsidP="00B91FFA">
      <w:pPr>
        <w:jc w:val="center"/>
        <w:rPr>
          <w:b/>
        </w:rPr>
      </w:pPr>
    </w:p>
    <w:p w14:paraId="772EDD55" w14:textId="77777777" w:rsidR="00B91FFA" w:rsidRDefault="00B91FFA" w:rsidP="00B91FFA">
      <w:pPr>
        <w:jc w:val="center"/>
        <w:rPr>
          <w:b/>
        </w:rPr>
      </w:pPr>
    </w:p>
    <w:p w14:paraId="5BEE06D4" w14:textId="77777777" w:rsidR="00B91FFA" w:rsidRDefault="00B91FFA" w:rsidP="00B91FFA">
      <w:pPr>
        <w:jc w:val="center"/>
        <w:rPr>
          <w:b/>
        </w:rPr>
      </w:pPr>
    </w:p>
    <w:p w14:paraId="5588E415" w14:textId="77777777" w:rsidR="00B91FFA" w:rsidRDefault="00B91FFA" w:rsidP="00B91FFA">
      <w:pPr>
        <w:jc w:val="center"/>
        <w:rPr>
          <w:b/>
        </w:rPr>
      </w:pPr>
    </w:p>
    <w:p w14:paraId="7FA2D723" w14:textId="77777777" w:rsidR="00B91FFA" w:rsidRDefault="00B91FFA" w:rsidP="00B91FFA">
      <w:pPr>
        <w:jc w:val="center"/>
        <w:rPr>
          <w:b/>
        </w:rPr>
      </w:pPr>
    </w:p>
    <w:p w14:paraId="25244DEE" w14:textId="77777777" w:rsidR="00B91FFA" w:rsidRDefault="00B91FFA" w:rsidP="00B91FFA">
      <w:pPr>
        <w:jc w:val="center"/>
        <w:rPr>
          <w:b/>
        </w:rPr>
      </w:pPr>
    </w:p>
    <w:p w14:paraId="7CCE72CE" w14:textId="77777777" w:rsidR="00B91FFA" w:rsidRDefault="00B91FFA" w:rsidP="00B91FFA">
      <w:pPr>
        <w:jc w:val="center"/>
        <w:rPr>
          <w:b/>
        </w:rPr>
      </w:pPr>
    </w:p>
    <w:p w14:paraId="171756C1" w14:textId="77777777" w:rsidR="00B91FFA" w:rsidRDefault="00B91FFA" w:rsidP="00B91FFA">
      <w:pPr>
        <w:jc w:val="center"/>
        <w:rPr>
          <w:b/>
        </w:rPr>
      </w:pPr>
    </w:p>
    <w:p w14:paraId="7567DEC9" w14:textId="77777777" w:rsidR="00B91FFA" w:rsidRDefault="00B91FFA" w:rsidP="00B91FFA">
      <w:pPr>
        <w:jc w:val="center"/>
        <w:rPr>
          <w:b/>
        </w:rPr>
      </w:pPr>
    </w:p>
    <w:p w14:paraId="2CDAB976" w14:textId="77777777" w:rsidR="00B91FFA" w:rsidRDefault="00B91FFA" w:rsidP="00B91FFA">
      <w:pPr>
        <w:jc w:val="center"/>
        <w:rPr>
          <w:b/>
        </w:rPr>
      </w:pPr>
    </w:p>
    <w:p w14:paraId="5E09A1D5" w14:textId="77777777" w:rsidR="00B91FFA" w:rsidRDefault="00B91FFA" w:rsidP="00B91FFA">
      <w:pPr>
        <w:jc w:val="center"/>
        <w:rPr>
          <w:b/>
        </w:rPr>
      </w:pPr>
    </w:p>
    <w:p w14:paraId="32924A89" w14:textId="77777777" w:rsidR="00B91FFA" w:rsidRDefault="00B91FFA" w:rsidP="00B91FFA">
      <w:pPr>
        <w:jc w:val="center"/>
        <w:rPr>
          <w:b/>
        </w:rPr>
      </w:pPr>
    </w:p>
    <w:p w14:paraId="314241A9" w14:textId="77777777" w:rsidR="002A6BB1" w:rsidRDefault="002A6BB1" w:rsidP="002A6BB1">
      <w:pPr>
        <w:jc w:val="center"/>
        <w:rPr>
          <w:b/>
        </w:rPr>
      </w:pPr>
    </w:p>
    <w:p w14:paraId="55DDCCB5" w14:textId="77777777" w:rsidR="002A6BB1" w:rsidRPr="002A6BB1" w:rsidRDefault="002A6BB1" w:rsidP="002A6BB1">
      <w:pPr>
        <w:jc w:val="center"/>
        <w:rPr>
          <w:b/>
        </w:rPr>
      </w:pPr>
      <w:r w:rsidRPr="002A6BB1">
        <w:rPr>
          <w:b/>
        </w:rPr>
        <w:t xml:space="preserve">OBJETIVO </w:t>
      </w:r>
    </w:p>
    <w:p w14:paraId="39030D34" w14:textId="77777777" w:rsidR="002A6BB1" w:rsidRPr="002A6BB1" w:rsidRDefault="002A6BB1" w:rsidP="002A6BB1">
      <w:pPr>
        <w:jc w:val="center"/>
        <w:rPr>
          <w:b/>
        </w:rPr>
      </w:pPr>
      <w:r w:rsidRPr="002A6BB1">
        <w:rPr>
          <w:b/>
        </w:rPr>
        <w:t xml:space="preserve"> </w:t>
      </w:r>
    </w:p>
    <w:p w14:paraId="451E4860" w14:textId="77777777" w:rsidR="002A6BB1" w:rsidRPr="002A6BB1" w:rsidRDefault="009C47A6" w:rsidP="002A6BB1">
      <w:pPr>
        <w:jc w:val="both"/>
      </w:pPr>
      <w:r>
        <w:t xml:space="preserve">Racionalizar el uso de los recursos públicos, fortaleciendo la cultura del ahorro y aplicar oportunamente los controles y lineamientos que permitan acatar los direccionamientos </w:t>
      </w:r>
      <w:r w:rsidR="002A6BB1" w:rsidRPr="002A6BB1">
        <w:t>normativo</w:t>
      </w:r>
      <w:r>
        <w:t xml:space="preserve">s y </w:t>
      </w:r>
      <w:r w:rsidR="002A6BB1" w:rsidRPr="002A6BB1">
        <w:t xml:space="preserve">que pueden servir como base para la toma de decisiones; </w:t>
      </w:r>
      <w:r>
        <w:t xml:space="preserve">así mismo, </w:t>
      </w:r>
      <w:r w:rsidR="002A6BB1" w:rsidRPr="002A6BB1">
        <w:t xml:space="preserve">determinar el comportamiento del consumo frente a las metas institucionales, los incrementos y/o ahorros e identificar aquellos hechos que </w:t>
      </w:r>
      <w:r>
        <w:t xml:space="preserve">llamen </w:t>
      </w:r>
      <w:r w:rsidR="002A6BB1" w:rsidRPr="002A6BB1">
        <w:t>la atención, para efectuar las recomendaciones a que haya lugar</w:t>
      </w:r>
      <w:r>
        <w:t>.</w:t>
      </w:r>
      <w:r w:rsidR="002A6BB1" w:rsidRPr="002A6BB1">
        <w:t xml:space="preserve"> </w:t>
      </w:r>
    </w:p>
    <w:p w14:paraId="35CB6577" w14:textId="77777777" w:rsidR="002A6BB1" w:rsidRPr="002A6BB1" w:rsidRDefault="002A6BB1" w:rsidP="002A6BB1">
      <w:pPr>
        <w:jc w:val="center"/>
        <w:rPr>
          <w:b/>
        </w:rPr>
      </w:pPr>
      <w:r w:rsidRPr="002A6BB1">
        <w:rPr>
          <w:b/>
        </w:rPr>
        <w:t xml:space="preserve"> </w:t>
      </w:r>
    </w:p>
    <w:p w14:paraId="570050DC" w14:textId="77777777" w:rsidR="002A6BB1" w:rsidRPr="002A6BB1" w:rsidRDefault="002A6BB1" w:rsidP="002A6BB1">
      <w:pPr>
        <w:jc w:val="center"/>
        <w:rPr>
          <w:b/>
        </w:rPr>
      </w:pPr>
      <w:r w:rsidRPr="002A6BB1">
        <w:rPr>
          <w:b/>
        </w:rPr>
        <w:t xml:space="preserve"> </w:t>
      </w:r>
    </w:p>
    <w:p w14:paraId="422ADE77" w14:textId="77777777" w:rsidR="002A6BB1" w:rsidRPr="002A6BB1" w:rsidRDefault="002A6BB1" w:rsidP="002A6BB1">
      <w:pPr>
        <w:jc w:val="center"/>
        <w:rPr>
          <w:b/>
        </w:rPr>
      </w:pPr>
      <w:r w:rsidRPr="002A6BB1">
        <w:rPr>
          <w:b/>
        </w:rPr>
        <w:t xml:space="preserve">  ALCANCE </w:t>
      </w:r>
    </w:p>
    <w:p w14:paraId="01A54D35" w14:textId="77777777" w:rsidR="002A6BB1" w:rsidRDefault="002A6BB1" w:rsidP="002A6BB1">
      <w:pPr>
        <w:jc w:val="center"/>
        <w:rPr>
          <w:b/>
        </w:rPr>
      </w:pPr>
      <w:r w:rsidRPr="002A6BB1">
        <w:rPr>
          <w:b/>
        </w:rPr>
        <w:t xml:space="preserve"> </w:t>
      </w:r>
    </w:p>
    <w:p w14:paraId="3D8F92CA" w14:textId="77777777" w:rsidR="00C36650" w:rsidRDefault="00C36650" w:rsidP="002A6BB1">
      <w:pPr>
        <w:jc w:val="both"/>
      </w:pPr>
    </w:p>
    <w:p w14:paraId="47FF337D" w14:textId="77777777" w:rsidR="002A6BB1" w:rsidRPr="002A6BB1" w:rsidRDefault="002A6BB1" w:rsidP="002A6BB1">
      <w:pPr>
        <w:jc w:val="both"/>
      </w:pPr>
      <w:r w:rsidRPr="002A6BB1">
        <w:t xml:space="preserve">El alcance de este informe incluye los pagos realizados </w:t>
      </w:r>
      <w:r>
        <w:t xml:space="preserve">en </w:t>
      </w:r>
      <w:r w:rsidRPr="002A6BB1">
        <w:t xml:space="preserve">el </w:t>
      </w:r>
      <w:r>
        <w:t>primer tr</w:t>
      </w:r>
      <w:r w:rsidRPr="002A6BB1">
        <w:t>imestre de la vigencia 20</w:t>
      </w:r>
      <w:r>
        <w:t>20</w:t>
      </w:r>
      <w:r w:rsidRPr="002A6BB1">
        <w:t xml:space="preserve"> comparado con el mismo periodo de la vigencia 201</w:t>
      </w:r>
      <w:r>
        <w:t>9</w:t>
      </w:r>
      <w:r w:rsidRPr="002A6BB1">
        <w:t xml:space="preserve">.  </w:t>
      </w:r>
    </w:p>
    <w:p w14:paraId="24671B21" w14:textId="77777777" w:rsidR="002A6BB1" w:rsidRPr="002A6BB1" w:rsidRDefault="00C36650" w:rsidP="00C36650">
      <w:pPr>
        <w:jc w:val="both"/>
      </w:pPr>
      <w:r>
        <w:t xml:space="preserve">Se analizan solo los gastos del presupuesto alusivos a la austeridad y racionalización del gasto público, de acuerdo con la normativa establecida. </w:t>
      </w:r>
    </w:p>
    <w:p w14:paraId="228876DD" w14:textId="77777777" w:rsidR="002A6BB1" w:rsidRPr="002A6BB1" w:rsidRDefault="002A6BB1" w:rsidP="002A6BB1">
      <w:pPr>
        <w:jc w:val="center"/>
        <w:rPr>
          <w:b/>
        </w:rPr>
      </w:pPr>
      <w:r w:rsidRPr="002A6BB1">
        <w:rPr>
          <w:b/>
        </w:rPr>
        <w:t xml:space="preserve"> </w:t>
      </w:r>
    </w:p>
    <w:p w14:paraId="6844C6C3" w14:textId="77777777" w:rsidR="002A6BB1" w:rsidRPr="002A6BB1" w:rsidRDefault="002A6BB1" w:rsidP="002A6BB1">
      <w:pPr>
        <w:jc w:val="center"/>
        <w:rPr>
          <w:b/>
        </w:rPr>
      </w:pPr>
      <w:r w:rsidRPr="002A6BB1">
        <w:rPr>
          <w:b/>
        </w:rPr>
        <w:t xml:space="preserve"> </w:t>
      </w:r>
    </w:p>
    <w:p w14:paraId="318A15CF" w14:textId="77777777" w:rsidR="002A6BB1" w:rsidRPr="002A6BB1" w:rsidRDefault="002A6BB1" w:rsidP="002A6BB1">
      <w:pPr>
        <w:jc w:val="center"/>
        <w:rPr>
          <w:b/>
        </w:rPr>
      </w:pPr>
      <w:r w:rsidRPr="002A6BB1">
        <w:rPr>
          <w:b/>
        </w:rPr>
        <w:t xml:space="preserve">PROCESOS INVOLUCRADOS </w:t>
      </w:r>
    </w:p>
    <w:p w14:paraId="1973806A" w14:textId="77777777" w:rsidR="002A6BB1" w:rsidRPr="002A6BB1" w:rsidRDefault="002A6BB1" w:rsidP="002A6BB1">
      <w:pPr>
        <w:jc w:val="center"/>
        <w:rPr>
          <w:b/>
        </w:rPr>
      </w:pPr>
      <w:r w:rsidRPr="002A6BB1">
        <w:rPr>
          <w:b/>
        </w:rPr>
        <w:t xml:space="preserve"> </w:t>
      </w:r>
    </w:p>
    <w:p w14:paraId="7F1230A8" w14:textId="77777777" w:rsidR="002A6BB1" w:rsidRPr="002A6BB1" w:rsidRDefault="002A6BB1" w:rsidP="002A6BB1">
      <w:pPr>
        <w:jc w:val="center"/>
        <w:rPr>
          <w:b/>
        </w:rPr>
      </w:pPr>
      <w:r w:rsidRPr="002A6BB1">
        <w:rPr>
          <w:b/>
        </w:rPr>
        <w:t xml:space="preserve"> </w:t>
      </w:r>
    </w:p>
    <w:p w14:paraId="77E1882D" w14:textId="61489DB7" w:rsidR="002A6BB1" w:rsidRPr="003A7CB2" w:rsidRDefault="002A6BB1" w:rsidP="003A7CB2">
      <w:pPr>
        <w:jc w:val="both"/>
      </w:pPr>
      <w:r w:rsidRPr="003A7CB2">
        <w:t xml:space="preserve">En la elaboración del informe SOBRE AUSTERIDAD Y EFICIENCIA DEL GASTO PÚBLICO DE LA E.S.E. </w:t>
      </w:r>
      <w:r w:rsidR="003A7CB2">
        <w:t>HOSPITAL SANTA ISABEL</w:t>
      </w:r>
      <w:r w:rsidRPr="003A7CB2">
        <w:t xml:space="preserve"> se encuentra</w:t>
      </w:r>
      <w:r w:rsidR="00FE3758">
        <w:t>n</w:t>
      </w:r>
      <w:r w:rsidRPr="003A7CB2">
        <w:t xml:space="preserve"> involucrados los Procesos de Gestión </w:t>
      </w:r>
      <w:r w:rsidR="003A7CB2">
        <w:t xml:space="preserve">Contable y </w:t>
      </w:r>
      <w:r w:rsidRPr="003A7CB2">
        <w:t xml:space="preserve">Financiera y Evaluación y Control. </w:t>
      </w:r>
    </w:p>
    <w:p w14:paraId="22321CF6" w14:textId="77777777" w:rsidR="002A6BB1" w:rsidRPr="003A7CB2" w:rsidRDefault="002A6BB1" w:rsidP="003A7CB2">
      <w:pPr>
        <w:jc w:val="both"/>
      </w:pPr>
      <w:r w:rsidRPr="003A7CB2">
        <w:t xml:space="preserve"> </w:t>
      </w:r>
    </w:p>
    <w:p w14:paraId="778DD185" w14:textId="77777777" w:rsidR="002A6BB1" w:rsidRPr="002A6BB1" w:rsidRDefault="002A6BB1" w:rsidP="002A6BB1">
      <w:pPr>
        <w:jc w:val="center"/>
        <w:rPr>
          <w:b/>
        </w:rPr>
      </w:pPr>
      <w:r w:rsidRPr="002A6BB1">
        <w:rPr>
          <w:b/>
        </w:rPr>
        <w:t xml:space="preserve"> </w:t>
      </w:r>
    </w:p>
    <w:p w14:paraId="16ABD873" w14:textId="77777777" w:rsidR="002A6BB1" w:rsidRPr="002A6BB1" w:rsidRDefault="003A7CB2" w:rsidP="00B13539">
      <w:pPr>
        <w:jc w:val="center"/>
        <w:rPr>
          <w:b/>
        </w:rPr>
      </w:pPr>
      <w:r>
        <w:rPr>
          <w:b/>
        </w:rPr>
        <w:t>FUNDAMENTO</w:t>
      </w:r>
      <w:r w:rsidR="002A6BB1" w:rsidRPr="002A6BB1">
        <w:rPr>
          <w:b/>
        </w:rPr>
        <w:t xml:space="preserve"> LEGAL</w:t>
      </w:r>
    </w:p>
    <w:p w14:paraId="599B7470" w14:textId="77777777" w:rsidR="002A6BB1" w:rsidRDefault="002A6BB1" w:rsidP="002A6BB1">
      <w:pPr>
        <w:jc w:val="center"/>
        <w:rPr>
          <w:b/>
        </w:rPr>
      </w:pPr>
      <w:r w:rsidRPr="002A6BB1">
        <w:rPr>
          <w:b/>
        </w:rPr>
        <w:t xml:space="preserve"> </w:t>
      </w:r>
    </w:p>
    <w:p w14:paraId="3BCEE386" w14:textId="77777777" w:rsidR="00B13539" w:rsidRPr="002A6BB1" w:rsidRDefault="00B13539" w:rsidP="002A6BB1">
      <w:pPr>
        <w:jc w:val="center"/>
        <w:rPr>
          <w:b/>
        </w:rPr>
      </w:pPr>
    </w:p>
    <w:p w14:paraId="0AFB68AB" w14:textId="77777777" w:rsidR="002A6BB1" w:rsidRPr="003A7CB2" w:rsidRDefault="002A6BB1" w:rsidP="003A7CB2">
      <w:pPr>
        <w:jc w:val="both"/>
      </w:pPr>
      <w:r w:rsidRPr="003A7CB2">
        <w:t xml:space="preserve">Decreto 26 de 1998. “Por el cual se dictan normas de austeridad en el gasto público”. </w:t>
      </w:r>
    </w:p>
    <w:p w14:paraId="69EB2B8E" w14:textId="77777777" w:rsidR="002A6BB1" w:rsidRPr="003A7CB2" w:rsidRDefault="002A6BB1" w:rsidP="003A7CB2">
      <w:pPr>
        <w:jc w:val="both"/>
      </w:pPr>
      <w:r w:rsidRPr="003A7CB2">
        <w:t xml:space="preserve"> </w:t>
      </w:r>
    </w:p>
    <w:p w14:paraId="7DF2D2B4" w14:textId="77777777" w:rsidR="001F2B40" w:rsidRDefault="002A6BB1" w:rsidP="003A7CB2">
      <w:pPr>
        <w:jc w:val="both"/>
      </w:pPr>
      <w:r w:rsidRPr="003A7CB2">
        <w:t>Decreto 1737 de 1998. “Por el cual se expiden medidas de austeridad y eficiencia y se someten a condiciones especiales la asunción de compromisos por parte de las entidades públicas que manejan recursos del Tesoro Público.”</w:t>
      </w:r>
    </w:p>
    <w:p w14:paraId="678A47B6" w14:textId="77777777" w:rsidR="001F2B40" w:rsidRDefault="001F2B40" w:rsidP="001F2B40">
      <w:pPr>
        <w:jc w:val="both"/>
      </w:pPr>
    </w:p>
    <w:p w14:paraId="3EEE08EE" w14:textId="77777777" w:rsidR="001F2B40" w:rsidRDefault="001F2B40" w:rsidP="001F2B40">
      <w:pPr>
        <w:jc w:val="both"/>
      </w:pPr>
      <w:r>
        <w:t xml:space="preserve">Decreto 1738 de 1998. “Por el cual se dictan medidas para la debida recaudación y administración de las rentas y caudales públicos tendientes a reducir el gasto público.” </w:t>
      </w:r>
    </w:p>
    <w:p w14:paraId="4CD956F2" w14:textId="77777777" w:rsidR="001F2B40" w:rsidRDefault="001F2B40" w:rsidP="001F2B40">
      <w:pPr>
        <w:jc w:val="both"/>
      </w:pPr>
      <w:r>
        <w:t xml:space="preserve"> </w:t>
      </w:r>
    </w:p>
    <w:p w14:paraId="48E95C81" w14:textId="77777777" w:rsidR="00B13539" w:rsidRDefault="00B13539" w:rsidP="001F2B40">
      <w:pPr>
        <w:jc w:val="both"/>
      </w:pPr>
    </w:p>
    <w:p w14:paraId="3B8E8B7E" w14:textId="77777777" w:rsidR="00336648" w:rsidRDefault="00336648" w:rsidP="001F2B40">
      <w:pPr>
        <w:jc w:val="both"/>
      </w:pPr>
    </w:p>
    <w:p w14:paraId="668A3750" w14:textId="77777777" w:rsidR="001F2B40" w:rsidRDefault="001F2B40" w:rsidP="001F2B40">
      <w:pPr>
        <w:jc w:val="both"/>
      </w:pPr>
      <w:r>
        <w:lastRenderedPageBreak/>
        <w:t xml:space="preserve">Decreto 2209 de 1998. “Por el cual se modifican parcialmente los Decreto 1737 y 1738 del 21 de agosto de 1998”. </w:t>
      </w:r>
    </w:p>
    <w:p w14:paraId="5F78F065" w14:textId="77777777" w:rsidR="001F2B40" w:rsidRDefault="001F2B40" w:rsidP="001F2B40">
      <w:pPr>
        <w:jc w:val="both"/>
      </w:pPr>
      <w:r>
        <w:t xml:space="preserve"> </w:t>
      </w:r>
    </w:p>
    <w:p w14:paraId="3DAB47F4" w14:textId="77777777" w:rsidR="001F2B40" w:rsidRDefault="001F2B40" w:rsidP="001F2B40">
      <w:pPr>
        <w:jc w:val="both"/>
      </w:pPr>
      <w:r>
        <w:t xml:space="preserve">Decreto 2445 de 2000 “Por el cual se modifican los artículos 8, 12, 15 y 17 del Decreto 1737 de 1998”. </w:t>
      </w:r>
    </w:p>
    <w:p w14:paraId="6EF43FBE" w14:textId="77777777" w:rsidR="001F2B40" w:rsidRDefault="001F2B40" w:rsidP="001F2B40">
      <w:pPr>
        <w:jc w:val="both"/>
      </w:pPr>
      <w:r>
        <w:t xml:space="preserve"> </w:t>
      </w:r>
    </w:p>
    <w:p w14:paraId="2B3E4FA4" w14:textId="77777777" w:rsidR="001F2B40" w:rsidRDefault="001F2B40" w:rsidP="001F2B40">
      <w:pPr>
        <w:jc w:val="both"/>
      </w:pPr>
      <w:r>
        <w:t xml:space="preserve">Decreto 2465 de 2000 “Por el cual se modifica el artículo 8º del Decreto 1737 de 1998". </w:t>
      </w:r>
    </w:p>
    <w:p w14:paraId="1082048C" w14:textId="77777777" w:rsidR="001F2B40" w:rsidRDefault="001F2B40" w:rsidP="001F2B40">
      <w:pPr>
        <w:jc w:val="both"/>
      </w:pPr>
      <w:r>
        <w:t xml:space="preserve"> </w:t>
      </w:r>
    </w:p>
    <w:p w14:paraId="66F52AA6" w14:textId="77777777" w:rsidR="001F2B40" w:rsidRDefault="001F2B40" w:rsidP="001F2B40">
      <w:pPr>
        <w:jc w:val="both"/>
      </w:pPr>
      <w:r>
        <w:t xml:space="preserve">Decreto 1598 de 2011 “Por el cual se modifica el artículo 15 del Decreto 1737 de 1998” Ley 1474 de julio de 2011, “Por la cual se dictan normas orientadas a fortalecer los mecanismos de prevención, investigación y sanción de actos de corrupción y la efectividad del control de la gestión pública. </w:t>
      </w:r>
    </w:p>
    <w:p w14:paraId="6672208F" w14:textId="77777777" w:rsidR="001F2B40" w:rsidRDefault="001F2B40" w:rsidP="001F2B40">
      <w:pPr>
        <w:jc w:val="both"/>
      </w:pPr>
      <w:r>
        <w:t xml:space="preserve"> </w:t>
      </w:r>
    </w:p>
    <w:p w14:paraId="4357EA43" w14:textId="77777777" w:rsidR="001F2B40" w:rsidRDefault="001F2B40" w:rsidP="001F2B40">
      <w:pPr>
        <w:jc w:val="both"/>
      </w:pPr>
      <w:r>
        <w:t xml:space="preserve">Directiva Presidencial 03 de abril 3 de 2012. Plan de mejoramiento, informe mensual de seguimiento, austeridad del gasto. Directiva Presidencial 04 del 3 de abril de 2012. Eficiencia administrativa y lineamientos de la política cero papel en la Administración Pública. </w:t>
      </w:r>
    </w:p>
    <w:p w14:paraId="1EC2DDCA" w14:textId="77777777" w:rsidR="001F2B40" w:rsidRDefault="001F2B40" w:rsidP="001F2B40">
      <w:pPr>
        <w:jc w:val="both"/>
      </w:pPr>
      <w:r>
        <w:t xml:space="preserve"> </w:t>
      </w:r>
    </w:p>
    <w:p w14:paraId="34C352DE" w14:textId="77777777" w:rsidR="001F2B40" w:rsidRDefault="001F2B40" w:rsidP="001F2B40">
      <w:pPr>
        <w:jc w:val="both"/>
      </w:pPr>
      <w:r>
        <w:t xml:space="preserve">Directiva Presidencial No. 06 del 2 de diciembre de 2014. Por la cual establece direcciones para racionalizar los gastos de funcionamiento del Estado en el marco del Plan de Austeridad. </w:t>
      </w:r>
    </w:p>
    <w:p w14:paraId="444EE93D" w14:textId="77777777" w:rsidR="001F2B40" w:rsidRDefault="001F2B40" w:rsidP="001F2B40">
      <w:pPr>
        <w:jc w:val="both"/>
      </w:pPr>
      <w:r>
        <w:t xml:space="preserve"> </w:t>
      </w:r>
    </w:p>
    <w:p w14:paraId="225693CA" w14:textId="77777777" w:rsidR="001F2B40" w:rsidRDefault="001F2B40" w:rsidP="001F2B40">
      <w:pPr>
        <w:jc w:val="both"/>
      </w:pPr>
      <w:r>
        <w:t xml:space="preserve">Decreto 1068 de 2015, “Por medio del cual se expide el Decreto Único Reglamentario del Sector Hacienda y Crédito Público” </w:t>
      </w:r>
    </w:p>
    <w:p w14:paraId="6E7082EC" w14:textId="77777777" w:rsidR="001F2B40" w:rsidRDefault="001F2B40" w:rsidP="001F2B40">
      <w:pPr>
        <w:jc w:val="both"/>
      </w:pPr>
      <w:r>
        <w:t xml:space="preserve"> </w:t>
      </w:r>
    </w:p>
    <w:p w14:paraId="6D5B9011" w14:textId="77777777" w:rsidR="001F2B40" w:rsidRDefault="001F2B40" w:rsidP="001F2B40">
      <w:pPr>
        <w:jc w:val="both"/>
      </w:pPr>
      <w:r>
        <w:t xml:space="preserve">Decreto 0984 del 14 de mayo de 2012. “Modificación artículo 22 del Decreto 1737 de 1998.” en el cual indica:  </w:t>
      </w:r>
    </w:p>
    <w:p w14:paraId="6CB2D196" w14:textId="77777777" w:rsidR="001F2B40" w:rsidRDefault="001F2B40" w:rsidP="001F2B40">
      <w:pPr>
        <w:jc w:val="both"/>
      </w:pPr>
      <w:r>
        <w:t xml:space="preserve">“Artículo 1. El artículo 22 del Decreto 1737 de 1998, quedará así”: </w:t>
      </w:r>
    </w:p>
    <w:p w14:paraId="231F599C" w14:textId="77777777" w:rsidR="001F2B40" w:rsidRDefault="001F2B40" w:rsidP="001F2B40">
      <w:pPr>
        <w:jc w:val="both"/>
      </w:pPr>
      <w:r>
        <w:t xml:space="preserve"> </w:t>
      </w:r>
    </w:p>
    <w:p w14:paraId="04BD81BA" w14:textId="77777777" w:rsidR="001F2B40" w:rsidRDefault="001F2B40" w:rsidP="001F2B40">
      <w:pPr>
        <w:jc w:val="both"/>
      </w:pPr>
      <w:r>
        <w:t>“ARTICULO 22. Las oficinas de Control Interno verificarán en forma mensual el cumplimiento de estas disposiciones, como de las demás de restricción de gasto que continúan vigentes; estas dependencias prepararán y enviarán al representante legal de la entidad u organismo respectivo, un informe trimestral, que determine el grado de cumplimiento de estas disposiciones y las acciones que se deben tomar al respecto. Si se requiere tomar medidas antes de la presentación del informe, así lo hará saber el responsable del control interno del organismo. En todo caso será responsabilidad de los secretarios generales, o quienes hagan sus veces, por el estricto cumplimiento de las disposiciones aquí contenidas. El informe de austeridad que presenten los jefes de Control Interno podrá ser objeto de seguimiento por parte de la Contraloría General de la República a través del ejercicio de sus auditorías regulares”. (..)</w:t>
      </w:r>
    </w:p>
    <w:p w14:paraId="75267E0E" w14:textId="77777777" w:rsidR="00BC5248" w:rsidRDefault="00BC5248" w:rsidP="001F2B40">
      <w:pPr>
        <w:jc w:val="both"/>
      </w:pPr>
    </w:p>
    <w:p w14:paraId="60BED5D8" w14:textId="77777777" w:rsidR="00BC5248" w:rsidRDefault="00BC5248" w:rsidP="001F2B40">
      <w:pPr>
        <w:jc w:val="both"/>
      </w:pPr>
    </w:p>
    <w:p w14:paraId="141EBBED" w14:textId="77777777" w:rsidR="00BC5248" w:rsidRDefault="00BC5248" w:rsidP="001F2B40">
      <w:pPr>
        <w:jc w:val="both"/>
      </w:pPr>
    </w:p>
    <w:p w14:paraId="7A1C419F" w14:textId="77777777" w:rsidR="00336648" w:rsidRDefault="00336648" w:rsidP="00BC5248">
      <w:pPr>
        <w:jc w:val="center"/>
        <w:rPr>
          <w:b/>
        </w:rPr>
      </w:pPr>
    </w:p>
    <w:p w14:paraId="290E5864" w14:textId="77777777" w:rsidR="007E13D3" w:rsidRDefault="007E13D3" w:rsidP="007E13D3">
      <w:pPr>
        <w:jc w:val="center"/>
        <w:rPr>
          <w:rFonts w:cs="Arial"/>
          <w:b/>
          <w:lang w:val="es-ES_tradnl"/>
        </w:rPr>
      </w:pPr>
      <w:r w:rsidRPr="007E13D3">
        <w:rPr>
          <w:rFonts w:cs="Arial"/>
          <w:b/>
          <w:lang w:val="es-ES_tradnl"/>
        </w:rPr>
        <w:t>POL</w:t>
      </w:r>
      <w:r>
        <w:rPr>
          <w:rFonts w:cs="Arial"/>
          <w:b/>
          <w:lang w:val="es-ES_tradnl"/>
        </w:rPr>
        <w:t>Í</w:t>
      </w:r>
      <w:r w:rsidRPr="007E13D3">
        <w:rPr>
          <w:rFonts w:cs="Arial"/>
          <w:b/>
          <w:lang w:val="es-ES_tradnl"/>
        </w:rPr>
        <w:t>TICA</w:t>
      </w:r>
    </w:p>
    <w:p w14:paraId="2661AFE6" w14:textId="77777777" w:rsidR="007E13D3" w:rsidRPr="007E13D3" w:rsidRDefault="007E13D3" w:rsidP="007E13D3">
      <w:pPr>
        <w:jc w:val="center"/>
        <w:rPr>
          <w:rFonts w:cs="Arial"/>
          <w:b/>
          <w:lang w:val="es-ES_tradnl"/>
        </w:rPr>
      </w:pPr>
    </w:p>
    <w:p w14:paraId="0CA5CD8B" w14:textId="77777777" w:rsidR="008A59F1" w:rsidRDefault="007E13D3" w:rsidP="008A59F1">
      <w:pPr>
        <w:jc w:val="both"/>
        <w:rPr>
          <w:rFonts w:cs="Arial"/>
          <w:lang w:val="es-ES_tradnl"/>
        </w:rPr>
      </w:pPr>
      <w:r>
        <w:rPr>
          <w:rFonts w:cs="Arial"/>
          <w:lang w:val="es-ES_tradnl"/>
        </w:rPr>
        <w:t>La ESE</w:t>
      </w:r>
      <w:r w:rsidRPr="00773E18">
        <w:rPr>
          <w:rFonts w:cs="Arial"/>
          <w:lang w:val="es-ES_tradnl"/>
        </w:rPr>
        <w:t xml:space="preserve"> Hospital San</w:t>
      </w:r>
      <w:r>
        <w:rPr>
          <w:rFonts w:cs="Arial"/>
          <w:lang w:val="es-ES_tradnl"/>
        </w:rPr>
        <w:t>ta Isabel del municipio de San Pedro de los Milagros, de acuerdo con el Plan Nacional de Desarrollo y el Plan de Desarrollo Municipal</w:t>
      </w:r>
      <w:r w:rsidR="008A59F1">
        <w:rPr>
          <w:rFonts w:cs="Arial"/>
          <w:lang w:val="es-ES_tradnl"/>
        </w:rPr>
        <w:t xml:space="preserve">, </w:t>
      </w:r>
      <w:r w:rsidR="00112B23">
        <w:rPr>
          <w:rFonts w:cs="Arial"/>
          <w:lang w:val="es-ES_tradnl"/>
        </w:rPr>
        <w:t xml:space="preserve">está </w:t>
      </w:r>
      <w:r w:rsidR="008A59F1">
        <w:rPr>
          <w:rFonts w:cs="Arial"/>
          <w:lang w:val="es-ES_tradnl"/>
        </w:rPr>
        <w:t xml:space="preserve">comprometido con las </w:t>
      </w:r>
      <w:r w:rsidRPr="00773E18">
        <w:rPr>
          <w:rFonts w:cs="Arial"/>
          <w:lang w:val="es-ES_tradnl"/>
        </w:rPr>
        <w:t>nuevas  prácticas  administrativas  y ambientales que permitan la optimización del uso de los recursos públicos y la gener</w:t>
      </w:r>
      <w:r w:rsidR="008A59F1">
        <w:rPr>
          <w:rFonts w:cs="Arial"/>
          <w:lang w:val="es-ES_tradnl"/>
        </w:rPr>
        <w:t>ación de resultados eficientes, e</w:t>
      </w:r>
      <w:r w:rsidRPr="00773E18">
        <w:rPr>
          <w:rFonts w:cs="Arial"/>
          <w:lang w:val="es-ES_tradnl"/>
        </w:rPr>
        <w:t xml:space="preserve">stablece medidas </w:t>
      </w:r>
      <w:r w:rsidR="008A59F1">
        <w:rPr>
          <w:rFonts w:cs="Arial"/>
          <w:lang w:val="es-ES_tradnl"/>
        </w:rPr>
        <w:t xml:space="preserve">de austeridad que permitan la eficiencia y eficacia del gasto público </w:t>
      </w:r>
      <w:r w:rsidRPr="00773E18">
        <w:rPr>
          <w:rFonts w:cs="Arial"/>
          <w:lang w:val="es-ES_tradnl"/>
        </w:rPr>
        <w:t xml:space="preserve">atendiendo a circunstancias reales, que correspondan al cumplimiento de la misión  institucional.  </w:t>
      </w:r>
    </w:p>
    <w:p w14:paraId="4FCB0FCF" w14:textId="77777777" w:rsidR="008A59F1" w:rsidRDefault="008A59F1" w:rsidP="008A59F1">
      <w:pPr>
        <w:jc w:val="both"/>
        <w:rPr>
          <w:rFonts w:cs="Arial"/>
          <w:lang w:val="es-ES_tradnl"/>
        </w:rPr>
      </w:pPr>
    </w:p>
    <w:p w14:paraId="3C2A4886" w14:textId="77777777" w:rsidR="008A59F1" w:rsidRDefault="008A59F1" w:rsidP="008A59F1">
      <w:pPr>
        <w:jc w:val="both"/>
        <w:rPr>
          <w:rFonts w:cs="Arial"/>
          <w:lang w:val="es-ES_tradnl"/>
        </w:rPr>
      </w:pPr>
    </w:p>
    <w:p w14:paraId="3D2D0BBB" w14:textId="77777777" w:rsidR="00BC5248" w:rsidRPr="00BC5248" w:rsidRDefault="00BC5248" w:rsidP="008A59F1">
      <w:pPr>
        <w:jc w:val="center"/>
        <w:rPr>
          <w:b/>
        </w:rPr>
      </w:pPr>
      <w:r w:rsidRPr="00BC5248">
        <w:rPr>
          <w:b/>
        </w:rPr>
        <w:t>DESARROLLO</w:t>
      </w:r>
    </w:p>
    <w:p w14:paraId="0427D09D" w14:textId="77777777" w:rsidR="00BC5248" w:rsidRDefault="00BC5248" w:rsidP="00BC5248">
      <w:pPr>
        <w:jc w:val="both"/>
      </w:pPr>
      <w:r>
        <w:t xml:space="preserve">  </w:t>
      </w:r>
    </w:p>
    <w:p w14:paraId="067ADC0C" w14:textId="77777777" w:rsidR="00BC5248" w:rsidRPr="00BC5248" w:rsidRDefault="00BC5248" w:rsidP="00BC5248">
      <w:pPr>
        <w:jc w:val="both"/>
      </w:pPr>
      <w:r>
        <w:t>METODOLOGÍA:</w:t>
      </w:r>
      <w:r w:rsidRPr="00BC5248">
        <w:t xml:space="preserve"> En virtud de lo expuesto, se procedió a revisar y analizar la ejecución presupuestal de Gastos y las cuentas de la Relación de Pagos, durante el periodo evaluado, teniendo en cuenta los siguientes conceptos: </w:t>
      </w:r>
    </w:p>
    <w:p w14:paraId="32587700" w14:textId="77777777" w:rsidR="00BC5248" w:rsidRDefault="00BC5248" w:rsidP="00BC5248">
      <w:pPr>
        <w:jc w:val="both"/>
      </w:pPr>
    </w:p>
    <w:tbl>
      <w:tblPr>
        <w:tblStyle w:val="Tablaconcuadrcula"/>
        <w:tblW w:w="0" w:type="auto"/>
        <w:tblLayout w:type="fixed"/>
        <w:tblLook w:val="04A0" w:firstRow="1" w:lastRow="0" w:firstColumn="1" w:lastColumn="0" w:noHBand="0" w:noVBand="1"/>
      </w:tblPr>
      <w:tblGrid>
        <w:gridCol w:w="1809"/>
        <w:gridCol w:w="6663"/>
      </w:tblGrid>
      <w:tr w:rsidR="00CD5151" w14:paraId="3AF334FE" w14:textId="77777777" w:rsidTr="007339D0">
        <w:tc>
          <w:tcPr>
            <w:tcW w:w="1809" w:type="dxa"/>
          </w:tcPr>
          <w:p w14:paraId="06DA0F26" w14:textId="77777777" w:rsidR="00CD5151" w:rsidRPr="00DA7547" w:rsidRDefault="00CD5151" w:rsidP="00BC5248">
            <w:pPr>
              <w:jc w:val="both"/>
              <w:rPr>
                <w:b/>
                <w:sz w:val="22"/>
                <w:szCs w:val="22"/>
              </w:rPr>
            </w:pPr>
            <w:r w:rsidRPr="00DA7547">
              <w:rPr>
                <w:b/>
                <w:sz w:val="22"/>
                <w:szCs w:val="22"/>
              </w:rPr>
              <w:t>APROPIACIÓN</w:t>
            </w:r>
          </w:p>
        </w:tc>
        <w:tc>
          <w:tcPr>
            <w:tcW w:w="6663" w:type="dxa"/>
          </w:tcPr>
          <w:p w14:paraId="7683D79A" w14:textId="77777777" w:rsidR="00CD5151" w:rsidRPr="00DA7547" w:rsidRDefault="003D73C0" w:rsidP="00BC5248">
            <w:pPr>
              <w:jc w:val="both"/>
              <w:rPr>
                <w:b/>
                <w:sz w:val="22"/>
                <w:szCs w:val="22"/>
              </w:rPr>
            </w:pPr>
            <w:r w:rsidRPr="00DA7547">
              <w:rPr>
                <w:b/>
                <w:sz w:val="22"/>
                <w:szCs w:val="22"/>
              </w:rPr>
              <w:t>DESCRIPCIÓN</w:t>
            </w:r>
          </w:p>
        </w:tc>
      </w:tr>
      <w:tr w:rsidR="003D73C0" w14:paraId="0D9BB10D" w14:textId="77777777" w:rsidTr="007339D0">
        <w:tc>
          <w:tcPr>
            <w:tcW w:w="1809" w:type="dxa"/>
          </w:tcPr>
          <w:p w14:paraId="1F44CC77" w14:textId="77777777" w:rsidR="003D73C0" w:rsidRPr="00DA7547" w:rsidRDefault="003D73C0" w:rsidP="00BC5248">
            <w:pPr>
              <w:jc w:val="both"/>
              <w:rPr>
                <w:b/>
                <w:sz w:val="22"/>
                <w:szCs w:val="22"/>
              </w:rPr>
            </w:pPr>
          </w:p>
        </w:tc>
        <w:tc>
          <w:tcPr>
            <w:tcW w:w="6663" w:type="dxa"/>
          </w:tcPr>
          <w:p w14:paraId="2D64C30E" w14:textId="77777777" w:rsidR="003D73C0" w:rsidRPr="00DA7547" w:rsidRDefault="003D73C0" w:rsidP="00BC5248">
            <w:pPr>
              <w:jc w:val="both"/>
              <w:rPr>
                <w:b/>
                <w:sz w:val="22"/>
                <w:szCs w:val="22"/>
              </w:rPr>
            </w:pPr>
            <w:r w:rsidRPr="00DA7547">
              <w:rPr>
                <w:b/>
                <w:sz w:val="22"/>
                <w:szCs w:val="22"/>
              </w:rPr>
              <w:t>GASTOS DE PERSONAL</w:t>
            </w:r>
          </w:p>
        </w:tc>
      </w:tr>
      <w:tr w:rsidR="00CD5151" w14:paraId="135851EA" w14:textId="77777777" w:rsidTr="007339D0">
        <w:tc>
          <w:tcPr>
            <w:tcW w:w="1809" w:type="dxa"/>
          </w:tcPr>
          <w:p w14:paraId="28E405B5" w14:textId="77777777" w:rsidR="00CD5151" w:rsidRPr="00CD5151" w:rsidRDefault="00CD5151" w:rsidP="00CD5151">
            <w:pPr>
              <w:jc w:val="both"/>
            </w:pPr>
            <w:r w:rsidRPr="00CD5151">
              <w:rPr>
                <w:rFonts w:cs="Arial"/>
                <w:bCs/>
                <w:sz w:val="22"/>
                <w:szCs w:val="22"/>
              </w:rPr>
              <w:t>1010100</w:t>
            </w:r>
          </w:p>
        </w:tc>
        <w:tc>
          <w:tcPr>
            <w:tcW w:w="6663" w:type="dxa"/>
          </w:tcPr>
          <w:p w14:paraId="4EBBBD41" w14:textId="77777777" w:rsidR="00CD5151" w:rsidRPr="00DA7547" w:rsidRDefault="00CD5151" w:rsidP="000B23A7">
            <w:pPr>
              <w:pStyle w:val="Prrafodelista"/>
              <w:numPr>
                <w:ilvl w:val="0"/>
                <w:numId w:val="23"/>
              </w:numPr>
              <w:jc w:val="both"/>
              <w:rPr>
                <w:sz w:val="22"/>
                <w:szCs w:val="22"/>
              </w:rPr>
            </w:pPr>
            <w:r w:rsidRPr="00DA7547">
              <w:rPr>
                <w:sz w:val="22"/>
                <w:szCs w:val="22"/>
              </w:rPr>
              <w:t>Servicios personales asociados a la nómina</w:t>
            </w:r>
          </w:p>
        </w:tc>
      </w:tr>
      <w:tr w:rsidR="00CD5151" w14:paraId="39521D1C" w14:textId="77777777" w:rsidTr="007339D0">
        <w:tc>
          <w:tcPr>
            <w:tcW w:w="1809" w:type="dxa"/>
          </w:tcPr>
          <w:p w14:paraId="3E4B35AE" w14:textId="77777777" w:rsidR="00CD5151" w:rsidRPr="00CD5151" w:rsidRDefault="00CD5151" w:rsidP="00CD5151">
            <w:pPr>
              <w:jc w:val="both"/>
            </w:pPr>
            <w:r w:rsidRPr="00CD5151">
              <w:rPr>
                <w:rFonts w:cs="Arial"/>
                <w:bCs/>
                <w:sz w:val="22"/>
                <w:szCs w:val="22"/>
              </w:rPr>
              <w:t>1010200</w:t>
            </w:r>
          </w:p>
        </w:tc>
        <w:tc>
          <w:tcPr>
            <w:tcW w:w="6663" w:type="dxa"/>
          </w:tcPr>
          <w:p w14:paraId="66572C79" w14:textId="77777777" w:rsidR="00CD5151" w:rsidRPr="00EA66FF" w:rsidRDefault="00CD5151" w:rsidP="000B23A7">
            <w:pPr>
              <w:pStyle w:val="Prrafodelista"/>
              <w:numPr>
                <w:ilvl w:val="0"/>
                <w:numId w:val="23"/>
              </w:numPr>
              <w:jc w:val="both"/>
              <w:rPr>
                <w:sz w:val="22"/>
                <w:szCs w:val="22"/>
              </w:rPr>
            </w:pPr>
            <w:r w:rsidRPr="00EA66FF">
              <w:rPr>
                <w:sz w:val="22"/>
                <w:szCs w:val="22"/>
              </w:rPr>
              <w:t>Servicios personales indirectos</w:t>
            </w:r>
          </w:p>
        </w:tc>
      </w:tr>
      <w:tr w:rsidR="00CD5151" w14:paraId="35F67790" w14:textId="77777777" w:rsidTr="007339D0">
        <w:tc>
          <w:tcPr>
            <w:tcW w:w="1809" w:type="dxa"/>
          </w:tcPr>
          <w:p w14:paraId="1E339E61" w14:textId="77777777" w:rsidR="00CD5151" w:rsidRPr="00DC54D6" w:rsidRDefault="00CD5151" w:rsidP="00CD5151">
            <w:pPr>
              <w:jc w:val="both"/>
              <w:rPr>
                <w:rFonts w:cs="Arial"/>
                <w:bCs/>
                <w:sz w:val="22"/>
                <w:szCs w:val="22"/>
              </w:rPr>
            </w:pPr>
            <w:r w:rsidRPr="00DC54D6">
              <w:rPr>
                <w:rFonts w:cs="Arial"/>
                <w:bCs/>
                <w:sz w:val="22"/>
                <w:szCs w:val="22"/>
              </w:rPr>
              <w:t>1010300</w:t>
            </w:r>
          </w:p>
        </w:tc>
        <w:tc>
          <w:tcPr>
            <w:tcW w:w="6663" w:type="dxa"/>
          </w:tcPr>
          <w:p w14:paraId="3D4FB599" w14:textId="77777777" w:rsidR="00CD5151" w:rsidRPr="00DC54D6" w:rsidRDefault="00CD5151" w:rsidP="00E86DC3">
            <w:pPr>
              <w:pStyle w:val="Prrafodelista"/>
              <w:numPr>
                <w:ilvl w:val="0"/>
                <w:numId w:val="22"/>
              </w:numPr>
              <w:jc w:val="both"/>
              <w:rPr>
                <w:sz w:val="22"/>
                <w:szCs w:val="22"/>
              </w:rPr>
            </w:pPr>
            <w:r w:rsidRPr="00DC54D6">
              <w:rPr>
                <w:rFonts w:cs="Arial"/>
                <w:bCs/>
                <w:sz w:val="22"/>
                <w:szCs w:val="22"/>
              </w:rPr>
              <w:t>Contribuciones Inherentes nómina al Sector Privado</w:t>
            </w:r>
          </w:p>
        </w:tc>
      </w:tr>
      <w:tr w:rsidR="00CD5151" w14:paraId="1983C817" w14:textId="77777777" w:rsidTr="007339D0">
        <w:tc>
          <w:tcPr>
            <w:tcW w:w="1809" w:type="dxa"/>
          </w:tcPr>
          <w:p w14:paraId="4B55A601" w14:textId="77777777" w:rsidR="00CD5151" w:rsidRPr="004358E0" w:rsidRDefault="00BF115C" w:rsidP="00BF115C">
            <w:pPr>
              <w:jc w:val="both"/>
              <w:rPr>
                <w:rFonts w:cs="Arial"/>
                <w:bCs/>
                <w:sz w:val="22"/>
                <w:szCs w:val="22"/>
              </w:rPr>
            </w:pPr>
            <w:r w:rsidRPr="004358E0">
              <w:rPr>
                <w:rFonts w:cs="Arial"/>
                <w:bCs/>
                <w:sz w:val="22"/>
                <w:szCs w:val="22"/>
              </w:rPr>
              <w:t>1010400</w:t>
            </w:r>
          </w:p>
        </w:tc>
        <w:tc>
          <w:tcPr>
            <w:tcW w:w="6663" w:type="dxa"/>
          </w:tcPr>
          <w:p w14:paraId="2FCE5446" w14:textId="77777777" w:rsidR="00CD5151" w:rsidRPr="004358E0" w:rsidRDefault="00CD5151" w:rsidP="00BF115C">
            <w:pPr>
              <w:pStyle w:val="Prrafodelista"/>
              <w:numPr>
                <w:ilvl w:val="0"/>
                <w:numId w:val="22"/>
              </w:numPr>
              <w:jc w:val="both"/>
              <w:rPr>
                <w:sz w:val="22"/>
                <w:szCs w:val="22"/>
              </w:rPr>
            </w:pPr>
            <w:r w:rsidRPr="004358E0">
              <w:rPr>
                <w:rFonts w:cs="Arial"/>
                <w:bCs/>
                <w:sz w:val="22"/>
                <w:szCs w:val="22"/>
              </w:rPr>
              <w:t>Contribuciones Inherentes nómina del Sector Público</w:t>
            </w:r>
          </w:p>
        </w:tc>
      </w:tr>
      <w:tr w:rsidR="00CD5151" w14:paraId="029D381E" w14:textId="77777777" w:rsidTr="007339D0">
        <w:tc>
          <w:tcPr>
            <w:tcW w:w="1809" w:type="dxa"/>
          </w:tcPr>
          <w:p w14:paraId="6F9FD8D8" w14:textId="77777777" w:rsidR="00CD5151" w:rsidRPr="00BF115C" w:rsidRDefault="00BF115C" w:rsidP="00BF115C">
            <w:pPr>
              <w:jc w:val="both"/>
              <w:rPr>
                <w:rFonts w:cs="Arial"/>
                <w:bCs/>
                <w:sz w:val="22"/>
                <w:szCs w:val="22"/>
              </w:rPr>
            </w:pPr>
            <w:r w:rsidRPr="00BF115C">
              <w:rPr>
                <w:rFonts w:cs="Arial"/>
                <w:bCs/>
                <w:sz w:val="22"/>
                <w:szCs w:val="22"/>
              </w:rPr>
              <w:t>1020100</w:t>
            </w:r>
          </w:p>
        </w:tc>
        <w:tc>
          <w:tcPr>
            <w:tcW w:w="6663" w:type="dxa"/>
          </w:tcPr>
          <w:p w14:paraId="624EC30A" w14:textId="77777777" w:rsidR="00CD5151" w:rsidRPr="00DA7547" w:rsidRDefault="00CD5151" w:rsidP="00BF115C">
            <w:pPr>
              <w:pStyle w:val="Prrafodelista"/>
              <w:numPr>
                <w:ilvl w:val="0"/>
                <w:numId w:val="22"/>
              </w:numPr>
              <w:jc w:val="both"/>
              <w:rPr>
                <w:sz w:val="22"/>
                <w:szCs w:val="22"/>
              </w:rPr>
            </w:pPr>
            <w:r w:rsidRPr="00DA7547">
              <w:rPr>
                <w:rFonts w:cs="Arial"/>
                <w:bCs/>
                <w:sz w:val="22"/>
                <w:szCs w:val="22"/>
              </w:rPr>
              <w:t>Servicios Personales Asociados a Nómina</w:t>
            </w:r>
          </w:p>
        </w:tc>
      </w:tr>
      <w:tr w:rsidR="00CD5151" w14:paraId="2140C1A7" w14:textId="77777777" w:rsidTr="007339D0">
        <w:tc>
          <w:tcPr>
            <w:tcW w:w="1809" w:type="dxa"/>
          </w:tcPr>
          <w:p w14:paraId="647E9670" w14:textId="77777777" w:rsidR="00CD5151" w:rsidRPr="00AE47A3" w:rsidRDefault="00AE47A3" w:rsidP="00AE47A3">
            <w:pPr>
              <w:jc w:val="both"/>
              <w:rPr>
                <w:rFonts w:cs="Arial"/>
                <w:bCs/>
                <w:sz w:val="22"/>
                <w:szCs w:val="22"/>
              </w:rPr>
            </w:pPr>
            <w:r w:rsidRPr="00AE47A3">
              <w:rPr>
                <w:rFonts w:cs="Arial"/>
                <w:bCs/>
                <w:sz w:val="22"/>
                <w:szCs w:val="22"/>
              </w:rPr>
              <w:t>1020200</w:t>
            </w:r>
          </w:p>
        </w:tc>
        <w:tc>
          <w:tcPr>
            <w:tcW w:w="6663" w:type="dxa"/>
          </w:tcPr>
          <w:p w14:paraId="675E21BA" w14:textId="77777777" w:rsidR="00CD5151" w:rsidRPr="00DA7547" w:rsidRDefault="00CD5151" w:rsidP="00BF115C">
            <w:pPr>
              <w:pStyle w:val="Prrafodelista"/>
              <w:numPr>
                <w:ilvl w:val="0"/>
                <w:numId w:val="22"/>
              </w:numPr>
              <w:jc w:val="both"/>
              <w:rPr>
                <w:sz w:val="22"/>
                <w:szCs w:val="22"/>
              </w:rPr>
            </w:pPr>
            <w:r w:rsidRPr="00DA7547">
              <w:rPr>
                <w:rFonts w:cs="Arial"/>
                <w:bCs/>
                <w:sz w:val="22"/>
                <w:szCs w:val="22"/>
              </w:rPr>
              <w:t>Servicios Personales Indirectos</w:t>
            </w:r>
          </w:p>
        </w:tc>
      </w:tr>
      <w:tr w:rsidR="00146383" w14:paraId="3E34D211" w14:textId="77777777" w:rsidTr="007339D0">
        <w:tc>
          <w:tcPr>
            <w:tcW w:w="1809" w:type="dxa"/>
          </w:tcPr>
          <w:p w14:paraId="4C51D86B" w14:textId="77777777" w:rsidR="00146383" w:rsidRPr="00146383" w:rsidRDefault="00146383" w:rsidP="00146383">
            <w:pPr>
              <w:jc w:val="both"/>
              <w:rPr>
                <w:rFonts w:cs="Arial"/>
                <w:bCs/>
                <w:sz w:val="22"/>
                <w:szCs w:val="22"/>
              </w:rPr>
            </w:pPr>
            <w:r w:rsidRPr="00146383">
              <w:rPr>
                <w:rFonts w:cs="Arial"/>
                <w:bCs/>
                <w:sz w:val="22"/>
                <w:szCs w:val="22"/>
              </w:rPr>
              <w:t>1020300</w:t>
            </w:r>
          </w:p>
        </w:tc>
        <w:tc>
          <w:tcPr>
            <w:tcW w:w="6663" w:type="dxa"/>
          </w:tcPr>
          <w:p w14:paraId="7AE855E9" w14:textId="77777777" w:rsidR="00146383" w:rsidRPr="00DA7547" w:rsidRDefault="00146383" w:rsidP="00146383">
            <w:pPr>
              <w:pStyle w:val="Prrafodelista"/>
              <w:numPr>
                <w:ilvl w:val="0"/>
                <w:numId w:val="22"/>
              </w:numPr>
              <w:jc w:val="both"/>
              <w:rPr>
                <w:rFonts w:cs="Arial"/>
                <w:bCs/>
                <w:sz w:val="22"/>
                <w:szCs w:val="22"/>
              </w:rPr>
            </w:pPr>
            <w:r w:rsidRPr="00DA7547">
              <w:rPr>
                <w:rFonts w:cs="Arial"/>
                <w:bCs/>
                <w:sz w:val="22"/>
                <w:szCs w:val="22"/>
              </w:rPr>
              <w:t>Contribuciones Inherentes nómina al Sector Privado</w:t>
            </w:r>
          </w:p>
        </w:tc>
      </w:tr>
      <w:tr w:rsidR="00146383" w14:paraId="6A9C9372" w14:textId="77777777" w:rsidTr="007339D0">
        <w:tc>
          <w:tcPr>
            <w:tcW w:w="1809" w:type="dxa"/>
          </w:tcPr>
          <w:p w14:paraId="0B6BAAEC" w14:textId="77777777" w:rsidR="00146383" w:rsidRPr="00AE47A3" w:rsidRDefault="00723202" w:rsidP="00AE47A3">
            <w:pPr>
              <w:jc w:val="both"/>
              <w:rPr>
                <w:rFonts w:cs="Arial"/>
                <w:bCs/>
                <w:sz w:val="22"/>
                <w:szCs w:val="22"/>
              </w:rPr>
            </w:pPr>
            <w:r>
              <w:rPr>
                <w:rFonts w:cs="Arial"/>
                <w:bCs/>
                <w:sz w:val="22"/>
                <w:szCs w:val="22"/>
              </w:rPr>
              <w:t>1020400</w:t>
            </w:r>
          </w:p>
        </w:tc>
        <w:tc>
          <w:tcPr>
            <w:tcW w:w="6663" w:type="dxa"/>
          </w:tcPr>
          <w:p w14:paraId="3C88E3EB" w14:textId="77777777" w:rsidR="00146383" w:rsidRPr="00DA7547" w:rsidRDefault="00723202" w:rsidP="00723202">
            <w:pPr>
              <w:pStyle w:val="Prrafodelista"/>
              <w:numPr>
                <w:ilvl w:val="0"/>
                <w:numId w:val="22"/>
              </w:numPr>
              <w:jc w:val="both"/>
              <w:rPr>
                <w:rFonts w:cs="Arial"/>
                <w:bCs/>
                <w:sz w:val="22"/>
                <w:szCs w:val="22"/>
              </w:rPr>
            </w:pPr>
            <w:r w:rsidRPr="00DA7547">
              <w:rPr>
                <w:rFonts w:cs="Arial"/>
                <w:bCs/>
                <w:sz w:val="22"/>
                <w:szCs w:val="22"/>
              </w:rPr>
              <w:t>Contribuciones Inherentes nómina del Sector Público</w:t>
            </w:r>
          </w:p>
        </w:tc>
      </w:tr>
      <w:tr w:rsidR="00CD5151" w14:paraId="70DF1311" w14:textId="77777777" w:rsidTr="007339D0">
        <w:tc>
          <w:tcPr>
            <w:tcW w:w="1809" w:type="dxa"/>
          </w:tcPr>
          <w:p w14:paraId="13D17DE5" w14:textId="77777777" w:rsidR="00CD5151" w:rsidRPr="000B23A7" w:rsidRDefault="00CD5151" w:rsidP="00BC5248">
            <w:pPr>
              <w:jc w:val="both"/>
              <w:rPr>
                <w:b/>
              </w:rPr>
            </w:pPr>
          </w:p>
        </w:tc>
        <w:tc>
          <w:tcPr>
            <w:tcW w:w="6663" w:type="dxa"/>
          </w:tcPr>
          <w:p w14:paraId="66D768DF" w14:textId="77777777" w:rsidR="00CD5151" w:rsidRPr="00DA7547" w:rsidRDefault="00CD5151" w:rsidP="00BC5248">
            <w:pPr>
              <w:jc w:val="both"/>
              <w:rPr>
                <w:b/>
                <w:sz w:val="22"/>
                <w:szCs w:val="22"/>
              </w:rPr>
            </w:pPr>
            <w:r w:rsidRPr="00DA7547">
              <w:rPr>
                <w:b/>
                <w:sz w:val="22"/>
                <w:szCs w:val="22"/>
              </w:rPr>
              <w:t>GASTOS GENERALES</w:t>
            </w:r>
          </w:p>
        </w:tc>
      </w:tr>
      <w:tr w:rsidR="00CD5151" w14:paraId="2E01AC8F" w14:textId="77777777" w:rsidTr="007339D0">
        <w:tc>
          <w:tcPr>
            <w:tcW w:w="1809" w:type="dxa"/>
          </w:tcPr>
          <w:p w14:paraId="38EB6E22" w14:textId="77777777" w:rsidR="00CD5151" w:rsidRPr="00DA7547" w:rsidRDefault="0085163A" w:rsidP="00BC5248">
            <w:pPr>
              <w:jc w:val="both"/>
              <w:rPr>
                <w:sz w:val="22"/>
                <w:szCs w:val="22"/>
              </w:rPr>
            </w:pPr>
            <w:r w:rsidRPr="00DA7547">
              <w:rPr>
                <w:sz w:val="22"/>
                <w:szCs w:val="22"/>
              </w:rPr>
              <w:t>2010100</w:t>
            </w:r>
          </w:p>
        </w:tc>
        <w:tc>
          <w:tcPr>
            <w:tcW w:w="6663" w:type="dxa"/>
          </w:tcPr>
          <w:p w14:paraId="3AECEB0A" w14:textId="77777777" w:rsidR="00CD5151" w:rsidRPr="00DA7547" w:rsidRDefault="0085163A" w:rsidP="0085163A">
            <w:pPr>
              <w:pStyle w:val="Prrafodelista"/>
              <w:numPr>
                <w:ilvl w:val="0"/>
                <w:numId w:val="22"/>
              </w:numPr>
              <w:jc w:val="both"/>
              <w:rPr>
                <w:sz w:val="22"/>
                <w:szCs w:val="22"/>
              </w:rPr>
            </w:pPr>
            <w:r w:rsidRPr="00DA7547">
              <w:rPr>
                <w:sz w:val="22"/>
                <w:szCs w:val="22"/>
              </w:rPr>
              <w:t>Adquisición de Bienes</w:t>
            </w:r>
          </w:p>
        </w:tc>
      </w:tr>
      <w:tr w:rsidR="00CD5151" w:rsidRPr="00710502" w14:paraId="3FA98DB9" w14:textId="77777777" w:rsidTr="007339D0">
        <w:tc>
          <w:tcPr>
            <w:tcW w:w="1809" w:type="dxa"/>
          </w:tcPr>
          <w:p w14:paraId="1145C032" w14:textId="77777777" w:rsidR="00CD5151" w:rsidRPr="00710502" w:rsidRDefault="00710502" w:rsidP="00BC5248">
            <w:pPr>
              <w:jc w:val="both"/>
              <w:rPr>
                <w:sz w:val="22"/>
                <w:szCs w:val="22"/>
              </w:rPr>
            </w:pPr>
            <w:r w:rsidRPr="00710502">
              <w:rPr>
                <w:sz w:val="22"/>
                <w:szCs w:val="22"/>
              </w:rPr>
              <w:t>2010200</w:t>
            </w:r>
          </w:p>
        </w:tc>
        <w:tc>
          <w:tcPr>
            <w:tcW w:w="6663" w:type="dxa"/>
          </w:tcPr>
          <w:p w14:paraId="3BEAF443" w14:textId="77777777" w:rsidR="00CD5151" w:rsidRPr="00710502" w:rsidRDefault="00710502" w:rsidP="00710502">
            <w:pPr>
              <w:pStyle w:val="Prrafodelista"/>
              <w:numPr>
                <w:ilvl w:val="0"/>
                <w:numId w:val="22"/>
              </w:numPr>
              <w:jc w:val="both"/>
              <w:rPr>
                <w:sz w:val="22"/>
                <w:szCs w:val="22"/>
              </w:rPr>
            </w:pPr>
            <w:r w:rsidRPr="00710502">
              <w:rPr>
                <w:rFonts w:cs="Arial"/>
                <w:bCs/>
                <w:sz w:val="22"/>
                <w:szCs w:val="22"/>
              </w:rPr>
              <w:t>Adquisición de Servicios</w:t>
            </w:r>
          </w:p>
        </w:tc>
      </w:tr>
      <w:tr w:rsidR="00CD5151" w:rsidRPr="00710502" w14:paraId="60DA0380" w14:textId="77777777" w:rsidTr="007339D0">
        <w:tc>
          <w:tcPr>
            <w:tcW w:w="1809" w:type="dxa"/>
          </w:tcPr>
          <w:p w14:paraId="66AED4D0" w14:textId="77777777" w:rsidR="00CD5151" w:rsidRPr="00710502" w:rsidRDefault="00D45554" w:rsidP="00BC5248">
            <w:pPr>
              <w:jc w:val="both"/>
              <w:rPr>
                <w:sz w:val="22"/>
                <w:szCs w:val="22"/>
              </w:rPr>
            </w:pPr>
            <w:r>
              <w:rPr>
                <w:sz w:val="22"/>
                <w:szCs w:val="22"/>
              </w:rPr>
              <w:t>2010300</w:t>
            </w:r>
          </w:p>
        </w:tc>
        <w:tc>
          <w:tcPr>
            <w:tcW w:w="6663" w:type="dxa"/>
          </w:tcPr>
          <w:p w14:paraId="5C270AE6" w14:textId="77777777" w:rsidR="00CD5151" w:rsidRPr="00D45554" w:rsidRDefault="00D45554" w:rsidP="00D45554">
            <w:pPr>
              <w:pStyle w:val="Prrafodelista"/>
              <w:numPr>
                <w:ilvl w:val="0"/>
                <w:numId w:val="22"/>
              </w:numPr>
              <w:jc w:val="both"/>
              <w:rPr>
                <w:sz w:val="22"/>
                <w:szCs w:val="22"/>
              </w:rPr>
            </w:pPr>
            <w:r w:rsidRPr="00D45554">
              <w:rPr>
                <w:rFonts w:cs="Arial"/>
                <w:bCs/>
                <w:sz w:val="22"/>
                <w:szCs w:val="22"/>
              </w:rPr>
              <w:t>Impuestos y Multas</w:t>
            </w:r>
          </w:p>
        </w:tc>
      </w:tr>
      <w:tr w:rsidR="00CD5151" w:rsidRPr="00710502" w14:paraId="730AA834" w14:textId="77777777" w:rsidTr="007339D0">
        <w:tc>
          <w:tcPr>
            <w:tcW w:w="1809" w:type="dxa"/>
          </w:tcPr>
          <w:p w14:paraId="0B668791" w14:textId="77777777" w:rsidR="00CD5151" w:rsidRPr="00710502" w:rsidRDefault="00DA0DC6" w:rsidP="00BC5248">
            <w:pPr>
              <w:jc w:val="both"/>
              <w:rPr>
                <w:sz w:val="22"/>
                <w:szCs w:val="22"/>
              </w:rPr>
            </w:pPr>
            <w:r>
              <w:rPr>
                <w:sz w:val="22"/>
                <w:szCs w:val="22"/>
              </w:rPr>
              <w:t>2020100</w:t>
            </w:r>
          </w:p>
        </w:tc>
        <w:tc>
          <w:tcPr>
            <w:tcW w:w="6663" w:type="dxa"/>
          </w:tcPr>
          <w:p w14:paraId="776B8643" w14:textId="77777777" w:rsidR="00CD5151" w:rsidRPr="00710502" w:rsidRDefault="00DA0DC6" w:rsidP="00DA0DC6">
            <w:pPr>
              <w:pStyle w:val="Prrafodelista"/>
              <w:numPr>
                <w:ilvl w:val="0"/>
                <w:numId w:val="22"/>
              </w:numPr>
              <w:jc w:val="both"/>
              <w:rPr>
                <w:sz w:val="22"/>
                <w:szCs w:val="22"/>
              </w:rPr>
            </w:pPr>
            <w:r w:rsidRPr="00DA0DC6">
              <w:rPr>
                <w:rFonts w:cs="Arial"/>
                <w:bCs/>
                <w:sz w:val="22"/>
                <w:szCs w:val="22"/>
              </w:rPr>
              <w:t>Adquisición de bienes</w:t>
            </w:r>
          </w:p>
        </w:tc>
      </w:tr>
      <w:tr w:rsidR="00CD5151" w:rsidRPr="00710502" w14:paraId="336D6BF3" w14:textId="77777777" w:rsidTr="007339D0">
        <w:tc>
          <w:tcPr>
            <w:tcW w:w="1809" w:type="dxa"/>
          </w:tcPr>
          <w:p w14:paraId="7AE3DA6F" w14:textId="77777777" w:rsidR="00CD5151" w:rsidRPr="00710502" w:rsidRDefault="00CA569B" w:rsidP="00BC5248">
            <w:pPr>
              <w:jc w:val="both"/>
              <w:rPr>
                <w:sz w:val="22"/>
                <w:szCs w:val="22"/>
              </w:rPr>
            </w:pPr>
            <w:r>
              <w:rPr>
                <w:sz w:val="22"/>
                <w:szCs w:val="22"/>
              </w:rPr>
              <w:t>2020200</w:t>
            </w:r>
          </w:p>
        </w:tc>
        <w:tc>
          <w:tcPr>
            <w:tcW w:w="6663" w:type="dxa"/>
          </w:tcPr>
          <w:p w14:paraId="123FC4CB" w14:textId="77777777" w:rsidR="00CD5151" w:rsidRPr="00CA569B" w:rsidRDefault="00CA569B" w:rsidP="00CA569B">
            <w:pPr>
              <w:pStyle w:val="Prrafodelista"/>
              <w:numPr>
                <w:ilvl w:val="0"/>
                <w:numId w:val="22"/>
              </w:numPr>
              <w:jc w:val="both"/>
              <w:rPr>
                <w:sz w:val="22"/>
                <w:szCs w:val="22"/>
              </w:rPr>
            </w:pPr>
            <w:r w:rsidRPr="00CA569B">
              <w:rPr>
                <w:rFonts w:cs="Arial"/>
                <w:bCs/>
                <w:sz w:val="22"/>
                <w:szCs w:val="22"/>
              </w:rPr>
              <w:t>Adquisición de Servicios</w:t>
            </w:r>
          </w:p>
        </w:tc>
      </w:tr>
      <w:tr w:rsidR="00CD5151" w:rsidRPr="00710502" w14:paraId="44AEC6A0" w14:textId="77777777" w:rsidTr="007339D0">
        <w:tc>
          <w:tcPr>
            <w:tcW w:w="1809" w:type="dxa"/>
          </w:tcPr>
          <w:p w14:paraId="07D318B5" w14:textId="77777777" w:rsidR="00CD5151" w:rsidRPr="00710502" w:rsidRDefault="00CD5151" w:rsidP="00BC5248">
            <w:pPr>
              <w:jc w:val="both"/>
              <w:rPr>
                <w:sz w:val="22"/>
                <w:szCs w:val="22"/>
              </w:rPr>
            </w:pPr>
          </w:p>
        </w:tc>
        <w:tc>
          <w:tcPr>
            <w:tcW w:w="6663" w:type="dxa"/>
          </w:tcPr>
          <w:p w14:paraId="4867798C" w14:textId="77777777" w:rsidR="00CD5151" w:rsidRPr="00D13852" w:rsidRDefault="00D13852" w:rsidP="00D13852">
            <w:pPr>
              <w:jc w:val="both"/>
              <w:rPr>
                <w:sz w:val="22"/>
                <w:szCs w:val="22"/>
              </w:rPr>
            </w:pPr>
            <w:r w:rsidRPr="00D13852">
              <w:rPr>
                <w:rFonts w:cs="Arial"/>
                <w:b/>
                <w:bCs/>
                <w:sz w:val="22"/>
                <w:szCs w:val="22"/>
              </w:rPr>
              <w:t>TRANSFERENCIAS CORRIENTES</w:t>
            </w:r>
          </w:p>
        </w:tc>
      </w:tr>
      <w:tr w:rsidR="00CD5151" w:rsidRPr="00710502" w14:paraId="567B2BC8" w14:textId="77777777" w:rsidTr="007339D0">
        <w:tc>
          <w:tcPr>
            <w:tcW w:w="1809" w:type="dxa"/>
          </w:tcPr>
          <w:p w14:paraId="0006CF01" w14:textId="77777777" w:rsidR="00CD5151" w:rsidRPr="00710502" w:rsidRDefault="00D13852" w:rsidP="00BC5248">
            <w:pPr>
              <w:jc w:val="both"/>
              <w:rPr>
                <w:sz w:val="22"/>
                <w:szCs w:val="22"/>
              </w:rPr>
            </w:pPr>
            <w:r>
              <w:rPr>
                <w:sz w:val="22"/>
                <w:szCs w:val="22"/>
              </w:rPr>
              <w:t>3100000</w:t>
            </w:r>
          </w:p>
        </w:tc>
        <w:tc>
          <w:tcPr>
            <w:tcW w:w="6663" w:type="dxa"/>
          </w:tcPr>
          <w:p w14:paraId="20401BE7" w14:textId="77777777" w:rsidR="00CD5151" w:rsidRPr="00710502" w:rsidRDefault="00D13852" w:rsidP="00CA518B">
            <w:pPr>
              <w:pStyle w:val="Prrafodelista"/>
              <w:numPr>
                <w:ilvl w:val="0"/>
                <w:numId w:val="22"/>
              </w:numPr>
              <w:jc w:val="both"/>
              <w:rPr>
                <w:sz w:val="22"/>
                <w:szCs w:val="22"/>
              </w:rPr>
            </w:pPr>
            <w:r w:rsidRPr="00D13852">
              <w:rPr>
                <w:rFonts w:cs="Arial"/>
                <w:bCs/>
                <w:sz w:val="22"/>
                <w:szCs w:val="22"/>
              </w:rPr>
              <w:t>Transferencias al Sector Público</w:t>
            </w:r>
          </w:p>
        </w:tc>
      </w:tr>
      <w:tr w:rsidR="00CD5151" w:rsidRPr="00710502" w14:paraId="0281AC80" w14:textId="77777777" w:rsidTr="007339D0">
        <w:tc>
          <w:tcPr>
            <w:tcW w:w="1809" w:type="dxa"/>
          </w:tcPr>
          <w:p w14:paraId="4E4B8E58" w14:textId="77777777" w:rsidR="00CD5151" w:rsidRPr="00710502" w:rsidRDefault="00CA518B" w:rsidP="00BC5248">
            <w:pPr>
              <w:jc w:val="both"/>
              <w:rPr>
                <w:sz w:val="22"/>
                <w:szCs w:val="22"/>
              </w:rPr>
            </w:pPr>
            <w:r>
              <w:rPr>
                <w:sz w:val="22"/>
                <w:szCs w:val="22"/>
              </w:rPr>
              <w:t>3200000</w:t>
            </w:r>
          </w:p>
        </w:tc>
        <w:tc>
          <w:tcPr>
            <w:tcW w:w="6663" w:type="dxa"/>
          </w:tcPr>
          <w:p w14:paraId="43A09505" w14:textId="77777777" w:rsidR="00CD5151" w:rsidRPr="00CA518B" w:rsidRDefault="00CA518B" w:rsidP="00CA518B">
            <w:pPr>
              <w:pStyle w:val="Prrafodelista"/>
              <w:numPr>
                <w:ilvl w:val="0"/>
                <w:numId w:val="22"/>
              </w:numPr>
              <w:jc w:val="both"/>
              <w:rPr>
                <w:sz w:val="22"/>
                <w:szCs w:val="22"/>
              </w:rPr>
            </w:pPr>
            <w:proofErr w:type="spellStart"/>
            <w:r w:rsidRPr="00CA518B">
              <w:rPr>
                <w:rFonts w:cs="Arial"/>
                <w:bCs/>
                <w:sz w:val="22"/>
                <w:szCs w:val="22"/>
              </w:rPr>
              <w:t>Transf</w:t>
            </w:r>
            <w:proofErr w:type="spellEnd"/>
            <w:r w:rsidRPr="00CA518B">
              <w:rPr>
                <w:rFonts w:cs="Arial"/>
                <w:bCs/>
                <w:sz w:val="22"/>
                <w:szCs w:val="22"/>
              </w:rPr>
              <w:t>. Previsión y Seguridad Social</w:t>
            </w:r>
          </w:p>
        </w:tc>
      </w:tr>
      <w:tr w:rsidR="00CD5151" w:rsidRPr="00710502" w14:paraId="05AA0191" w14:textId="77777777" w:rsidTr="007339D0">
        <w:tc>
          <w:tcPr>
            <w:tcW w:w="1809" w:type="dxa"/>
          </w:tcPr>
          <w:p w14:paraId="43C34925" w14:textId="77777777" w:rsidR="00CD5151" w:rsidRPr="00710502" w:rsidRDefault="00CA518B" w:rsidP="00BC5248">
            <w:pPr>
              <w:jc w:val="both"/>
              <w:rPr>
                <w:sz w:val="22"/>
                <w:szCs w:val="22"/>
              </w:rPr>
            </w:pPr>
            <w:r>
              <w:rPr>
                <w:sz w:val="22"/>
                <w:szCs w:val="22"/>
              </w:rPr>
              <w:t>3300000</w:t>
            </w:r>
          </w:p>
        </w:tc>
        <w:tc>
          <w:tcPr>
            <w:tcW w:w="6663" w:type="dxa"/>
          </w:tcPr>
          <w:p w14:paraId="35D9F573" w14:textId="77777777" w:rsidR="00CD5151" w:rsidRPr="00CA518B" w:rsidRDefault="00CA518B" w:rsidP="00CA518B">
            <w:pPr>
              <w:pStyle w:val="Prrafodelista"/>
              <w:numPr>
                <w:ilvl w:val="0"/>
                <w:numId w:val="22"/>
              </w:numPr>
              <w:jc w:val="both"/>
              <w:rPr>
                <w:sz w:val="22"/>
                <w:szCs w:val="22"/>
              </w:rPr>
            </w:pPr>
            <w:r w:rsidRPr="00CA518B">
              <w:rPr>
                <w:rFonts w:cs="Arial"/>
                <w:bCs/>
                <w:sz w:val="22"/>
                <w:szCs w:val="22"/>
              </w:rPr>
              <w:t>Otras Transferencias</w:t>
            </w:r>
          </w:p>
        </w:tc>
      </w:tr>
    </w:tbl>
    <w:p w14:paraId="660AC169" w14:textId="77777777" w:rsidR="009C47A6" w:rsidRDefault="009C47A6" w:rsidP="00BC5248">
      <w:pPr>
        <w:jc w:val="both"/>
        <w:rPr>
          <w:sz w:val="22"/>
          <w:szCs w:val="22"/>
        </w:rPr>
      </w:pPr>
    </w:p>
    <w:p w14:paraId="45AAB9A7" w14:textId="77777777" w:rsidR="002C3881" w:rsidRPr="00AF5B20" w:rsidRDefault="002C3881" w:rsidP="002C3881">
      <w:pPr>
        <w:jc w:val="both"/>
        <w:rPr>
          <w:sz w:val="22"/>
          <w:szCs w:val="22"/>
        </w:rPr>
      </w:pPr>
      <w:r w:rsidRPr="002C3881">
        <w:rPr>
          <w:sz w:val="22"/>
          <w:szCs w:val="22"/>
        </w:rPr>
        <w:t xml:space="preserve">Los datos anteriores son tomados de la información reportes </w:t>
      </w:r>
      <w:r w:rsidRPr="00AF5B20">
        <w:rPr>
          <w:sz w:val="22"/>
          <w:szCs w:val="22"/>
        </w:rPr>
        <w:t xml:space="preserve">CHIP CGR PRIMER TRIMESTRE 2020 - 2019; REPORTE DECRETO 2193 de 2004 – SIHO PRIMER TRIMESTRE 2020 - 2019; copia ejecución Presupuestal PRIMER TRIMESTRE 2020 - 2019.  </w:t>
      </w:r>
    </w:p>
    <w:p w14:paraId="41A113B5" w14:textId="77777777" w:rsidR="002C3881" w:rsidRPr="002C3881" w:rsidRDefault="002C3881" w:rsidP="002C3881">
      <w:pPr>
        <w:jc w:val="both"/>
        <w:rPr>
          <w:sz w:val="22"/>
          <w:szCs w:val="22"/>
        </w:rPr>
      </w:pPr>
      <w:r w:rsidRPr="002C3881">
        <w:rPr>
          <w:sz w:val="22"/>
          <w:szCs w:val="22"/>
        </w:rPr>
        <w:t xml:space="preserve"> </w:t>
      </w:r>
    </w:p>
    <w:p w14:paraId="5B7DF100" w14:textId="77777777" w:rsidR="002C3881" w:rsidRPr="00B50D49" w:rsidRDefault="002C3881" w:rsidP="002C3881">
      <w:pPr>
        <w:jc w:val="both"/>
        <w:rPr>
          <w:color w:val="FF0000"/>
          <w:sz w:val="22"/>
          <w:szCs w:val="22"/>
        </w:rPr>
      </w:pPr>
      <w:r w:rsidRPr="002C3881">
        <w:rPr>
          <w:sz w:val="22"/>
          <w:szCs w:val="22"/>
        </w:rPr>
        <w:lastRenderedPageBreak/>
        <w:t xml:space="preserve">También se toma la información relacionada en </w:t>
      </w:r>
      <w:r w:rsidRPr="00AF5B20">
        <w:rPr>
          <w:sz w:val="22"/>
          <w:szCs w:val="22"/>
        </w:rPr>
        <w:t xml:space="preserve">el SECOP </w:t>
      </w:r>
      <w:r w:rsidR="00CA0D73" w:rsidRPr="00AF5B20">
        <w:rPr>
          <w:sz w:val="22"/>
          <w:szCs w:val="22"/>
        </w:rPr>
        <w:t xml:space="preserve">1 </w:t>
      </w:r>
      <w:r w:rsidRPr="00AF5B20">
        <w:rPr>
          <w:sz w:val="22"/>
          <w:szCs w:val="22"/>
        </w:rPr>
        <w:t>en el PRIMER TRIMESTRE 20</w:t>
      </w:r>
      <w:r w:rsidR="00B57D23" w:rsidRPr="00AF5B20">
        <w:rPr>
          <w:sz w:val="22"/>
          <w:szCs w:val="22"/>
        </w:rPr>
        <w:t>20</w:t>
      </w:r>
      <w:r w:rsidRPr="00AF5B20">
        <w:rPr>
          <w:sz w:val="22"/>
          <w:szCs w:val="22"/>
        </w:rPr>
        <w:t xml:space="preserve"> – 201</w:t>
      </w:r>
      <w:r w:rsidR="00B57D23" w:rsidRPr="00AF5B20">
        <w:rPr>
          <w:sz w:val="22"/>
          <w:szCs w:val="22"/>
        </w:rPr>
        <w:t>9</w:t>
      </w:r>
      <w:r w:rsidRPr="00AF5B20">
        <w:rPr>
          <w:sz w:val="22"/>
          <w:szCs w:val="22"/>
        </w:rPr>
        <w:t xml:space="preserve"> </w:t>
      </w:r>
      <w:r w:rsidR="00AF5B20" w:rsidRPr="00AF5B20">
        <w:rPr>
          <w:sz w:val="22"/>
          <w:szCs w:val="22"/>
        </w:rPr>
        <w:t>y la información cargada Gestión Transparente de la Contraloría de Antioquia.</w:t>
      </w:r>
    </w:p>
    <w:p w14:paraId="09937C92" w14:textId="77777777" w:rsidR="002C3881" w:rsidRPr="00B50D49" w:rsidRDefault="002C3881" w:rsidP="002C3881">
      <w:pPr>
        <w:jc w:val="both"/>
        <w:rPr>
          <w:color w:val="FF0000"/>
          <w:sz w:val="22"/>
          <w:szCs w:val="22"/>
        </w:rPr>
      </w:pPr>
      <w:r w:rsidRPr="00B50D49">
        <w:rPr>
          <w:color w:val="FF0000"/>
          <w:sz w:val="22"/>
          <w:szCs w:val="22"/>
        </w:rPr>
        <w:t xml:space="preserve"> </w:t>
      </w:r>
    </w:p>
    <w:p w14:paraId="7A1EB245" w14:textId="42B96C93" w:rsidR="002C3881" w:rsidRDefault="002C3881" w:rsidP="002C3881">
      <w:pPr>
        <w:jc w:val="both"/>
        <w:rPr>
          <w:sz w:val="22"/>
          <w:szCs w:val="22"/>
        </w:rPr>
      </w:pPr>
      <w:r w:rsidRPr="00BA659F">
        <w:rPr>
          <w:sz w:val="22"/>
          <w:szCs w:val="22"/>
        </w:rPr>
        <w:t>Los datos que se cruzan son las obligaciones para la vigencia actual, as</w:t>
      </w:r>
      <w:r w:rsidR="00BA659F" w:rsidRPr="00BA659F">
        <w:rPr>
          <w:sz w:val="22"/>
          <w:szCs w:val="22"/>
        </w:rPr>
        <w:t>í como la revisión de los pagos;</w:t>
      </w:r>
      <w:r w:rsidRPr="00BA659F">
        <w:rPr>
          <w:sz w:val="22"/>
          <w:szCs w:val="22"/>
        </w:rPr>
        <w:t xml:space="preserve"> de igual manera, la información relacionada en el SECOP </w:t>
      </w:r>
      <w:r w:rsidR="00BA659F" w:rsidRPr="00BA659F">
        <w:rPr>
          <w:sz w:val="22"/>
          <w:szCs w:val="22"/>
        </w:rPr>
        <w:t xml:space="preserve">1 en cuanto a </w:t>
      </w:r>
      <w:r w:rsidRPr="00BA659F">
        <w:rPr>
          <w:sz w:val="22"/>
          <w:szCs w:val="22"/>
        </w:rPr>
        <w:t>contratación de servicios personales; adquisición, asigna</w:t>
      </w:r>
      <w:r w:rsidR="00BA659F" w:rsidRPr="00BA659F">
        <w:rPr>
          <w:sz w:val="22"/>
          <w:szCs w:val="22"/>
        </w:rPr>
        <w:t xml:space="preserve">ción y mantenimiento de equipos </w:t>
      </w:r>
      <w:r w:rsidRPr="00BA659F">
        <w:rPr>
          <w:sz w:val="22"/>
          <w:szCs w:val="22"/>
        </w:rPr>
        <w:t xml:space="preserve">y bienes; mantenimiento de vehículos, combustibles e impresos y publicaciones. </w:t>
      </w:r>
    </w:p>
    <w:p w14:paraId="06A9FAFB" w14:textId="77777777" w:rsidR="00BD3E17" w:rsidRDefault="00BD3E17" w:rsidP="002C3881">
      <w:pPr>
        <w:jc w:val="both"/>
        <w:rPr>
          <w:sz w:val="22"/>
          <w:szCs w:val="22"/>
        </w:rPr>
      </w:pPr>
    </w:p>
    <w:p w14:paraId="420E10AD" w14:textId="7D6A2E04" w:rsidR="00BD3E17" w:rsidRPr="00BA659F" w:rsidRDefault="00BD3E17" w:rsidP="002C3881">
      <w:pPr>
        <w:jc w:val="both"/>
        <w:rPr>
          <w:sz w:val="22"/>
          <w:szCs w:val="22"/>
        </w:rPr>
      </w:pPr>
      <w:r>
        <w:rPr>
          <w:sz w:val="22"/>
          <w:szCs w:val="22"/>
        </w:rPr>
        <w:t>La verificación de nómina y servicios se realiza desde el informe de ejecución presupuestal.</w:t>
      </w:r>
    </w:p>
    <w:p w14:paraId="30A29E1B" w14:textId="77777777" w:rsidR="002C3881" w:rsidRDefault="002C3881" w:rsidP="002C3881">
      <w:pPr>
        <w:jc w:val="both"/>
        <w:rPr>
          <w:sz w:val="22"/>
          <w:szCs w:val="22"/>
        </w:rPr>
      </w:pPr>
      <w:r w:rsidRPr="002C3881">
        <w:rPr>
          <w:sz w:val="22"/>
          <w:szCs w:val="22"/>
        </w:rPr>
        <w:t xml:space="preserve"> </w:t>
      </w:r>
    </w:p>
    <w:p w14:paraId="699842CE" w14:textId="77777777" w:rsidR="0003565B" w:rsidRDefault="00266BF6" w:rsidP="002C3881">
      <w:pPr>
        <w:jc w:val="both"/>
        <w:rPr>
          <w:sz w:val="22"/>
          <w:szCs w:val="22"/>
        </w:rPr>
      </w:pPr>
      <w:r w:rsidRPr="00266BF6">
        <w:rPr>
          <w:sz w:val="22"/>
          <w:szCs w:val="22"/>
        </w:rPr>
        <w:t>RESULTADOS DE LA EVALUACIÓN</w:t>
      </w:r>
      <w:r>
        <w:rPr>
          <w:sz w:val="22"/>
          <w:szCs w:val="22"/>
        </w:rPr>
        <w:t>:</w:t>
      </w:r>
      <w:r w:rsidR="0003565B">
        <w:rPr>
          <w:sz w:val="22"/>
          <w:szCs w:val="22"/>
        </w:rPr>
        <w:t xml:space="preserve"> a</w:t>
      </w:r>
      <w:r w:rsidR="0003565B" w:rsidRPr="0003565B">
        <w:rPr>
          <w:sz w:val="22"/>
          <w:szCs w:val="22"/>
        </w:rPr>
        <w:t xml:space="preserve"> continuación, se presenta la verificación, para cada uno de los rubros motivo de análisis, donde se refleja el grado de cumplimiento a las normas sobre Austeridad del Gasto por parte de LA E.S.E. </w:t>
      </w:r>
      <w:r w:rsidR="0003565B">
        <w:rPr>
          <w:sz w:val="22"/>
          <w:szCs w:val="22"/>
        </w:rPr>
        <w:t>HOSPITAL SANTA ISABEL del Municipio de San Pedro de los Milagros para</w:t>
      </w:r>
      <w:r w:rsidR="0003565B" w:rsidRPr="0003565B">
        <w:rPr>
          <w:sz w:val="22"/>
          <w:szCs w:val="22"/>
        </w:rPr>
        <w:t xml:space="preserve"> el primer trimestre de 20</w:t>
      </w:r>
      <w:r w:rsidR="0003565B">
        <w:rPr>
          <w:sz w:val="22"/>
          <w:szCs w:val="22"/>
        </w:rPr>
        <w:t>20</w:t>
      </w:r>
      <w:r w:rsidR="0003565B" w:rsidRPr="0003565B">
        <w:rPr>
          <w:sz w:val="22"/>
          <w:szCs w:val="22"/>
        </w:rPr>
        <w:t>.</w:t>
      </w:r>
    </w:p>
    <w:p w14:paraId="1147C03D" w14:textId="77777777" w:rsidR="00E525FB" w:rsidRDefault="00E525FB" w:rsidP="002C3881">
      <w:pPr>
        <w:jc w:val="both"/>
        <w:rPr>
          <w:sz w:val="22"/>
          <w:szCs w:val="22"/>
        </w:rPr>
      </w:pPr>
    </w:p>
    <w:p w14:paraId="08A6B11D" w14:textId="77777777" w:rsidR="00E525FB" w:rsidRDefault="00E525FB" w:rsidP="002C3881">
      <w:pPr>
        <w:jc w:val="both"/>
        <w:rPr>
          <w:sz w:val="22"/>
          <w:szCs w:val="22"/>
        </w:rPr>
      </w:pPr>
      <w:r w:rsidRPr="00E525FB">
        <w:rPr>
          <w:sz w:val="22"/>
          <w:szCs w:val="22"/>
        </w:rPr>
        <w:t>ADMINISTRACI</w:t>
      </w:r>
      <w:r>
        <w:rPr>
          <w:sz w:val="22"/>
          <w:szCs w:val="22"/>
        </w:rPr>
        <w:t>Ó</w:t>
      </w:r>
      <w:r w:rsidRPr="00E525FB">
        <w:rPr>
          <w:sz w:val="22"/>
          <w:szCs w:val="22"/>
        </w:rPr>
        <w:t>N DE PERSONAL Y CONTRATACIÓN DE SERVICIOS PERSONALES</w:t>
      </w:r>
    </w:p>
    <w:p w14:paraId="7DE56DEA" w14:textId="77777777" w:rsidR="00E525FB" w:rsidRPr="00E525FB" w:rsidRDefault="00E525FB" w:rsidP="00E525FB">
      <w:pPr>
        <w:jc w:val="both"/>
        <w:rPr>
          <w:sz w:val="22"/>
          <w:szCs w:val="22"/>
        </w:rPr>
      </w:pPr>
      <w:r w:rsidRPr="00E525FB">
        <w:rPr>
          <w:sz w:val="22"/>
          <w:szCs w:val="22"/>
        </w:rPr>
        <w:t>Planta de personal</w:t>
      </w:r>
      <w:r>
        <w:rPr>
          <w:sz w:val="22"/>
          <w:szCs w:val="22"/>
        </w:rPr>
        <w:t>:</w:t>
      </w:r>
      <w:r w:rsidRPr="00E525FB">
        <w:rPr>
          <w:sz w:val="22"/>
          <w:szCs w:val="22"/>
        </w:rPr>
        <w:t xml:space="preserve"> </w:t>
      </w:r>
    </w:p>
    <w:p w14:paraId="65B695AE" w14:textId="77777777" w:rsidR="00E525FB" w:rsidRPr="00E525FB" w:rsidRDefault="00E525FB" w:rsidP="00E525FB">
      <w:pPr>
        <w:jc w:val="both"/>
        <w:rPr>
          <w:sz w:val="22"/>
          <w:szCs w:val="22"/>
        </w:rPr>
      </w:pPr>
      <w:r w:rsidRPr="00E525FB">
        <w:rPr>
          <w:sz w:val="22"/>
          <w:szCs w:val="22"/>
        </w:rPr>
        <w:t xml:space="preserve"> </w:t>
      </w:r>
    </w:p>
    <w:p w14:paraId="28990ECD" w14:textId="77777777" w:rsidR="00E525FB" w:rsidRDefault="00E525FB" w:rsidP="00E525FB">
      <w:pPr>
        <w:jc w:val="both"/>
        <w:rPr>
          <w:sz w:val="22"/>
          <w:szCs w:val="22"/>
        </w:rPr>
      </w:pPr>
      <w:r w:rsidRPr="00E525FB">
        <w:rPr>
          <w:sz w:val="22"/>
          <w:szCs w:val="22"/>
        </w:rPr>
        <w:t>Se relaciona por tipo de vinculación, el número de servidores públicos que a marzo de 20</w:t>
      </w:r>
      <w:r>
        <w:rPr>
          <w:sz w:val="22"/>
          <w:szCs w:val="22"/>
        </w:rPr>
        <w:t>20</w:t>
      </w:r>
      <w:r w:rsidRPr="00E525FB">
        <w:rPr>
          <w:sz w:val="22"/>
          <w:szCs w:val="22"/>
        </w:rPr>
        <w:t xml:space="preserve">, laboraban en la E.S.E. </w:t>
      </w:r>
      <w:r>
        <w:rPr>
          <w:sz w:val="22"/>
          <w:szCs w:val="22"/>
        </w:rPr>
        <w:t>HOSPITAL SANTA ISABEL</w:t>
      </w:r>
    </w:p>
    <w:p w14:paraId="12D9991B" w14:textId="77777777" w:rsidR="0078261D" w:rsidRDefault="0078261D" w:rsidP="00E525FB">
      <w:pPr>
        <w:jc w:val="both"/>
        <w:rPr>
          <w:sz w:val="22"/>
          <w:szCs w:val="22"/>
        </w:rPr>
      </w:pPr>
    </w:p>
    <w:p w14:paraId="3C95E015" w14:textId="77777777" w:rsidR="00AD1EFA" w:rsidRDefault="00AD1EFA" w:rsidP="00E525FB">
      <w:pPr>
        <w:jc w:val="both"/>
        <w:rPr>
          <w:sz w:val="22"/>
          <w:szCs w:val="22"/>
        </w:rPr>
      </w:pPr>
    </w:p>
    <w:p w14:paraId="7CA80D29" w14:textId="77777777" w:rsidR="006557ED" w:rsidRDefault="006557ED" w:rsidP="00E525FB">
      <w:pPr>
        <w:jc w:val="both"/>
        <w:rPr>
          <w:sz w:val="22"/>
          <w:szCs w:val="22"/>
        </w:rPr>
      </w:pPr>
    </w:p>
    <w:tbl>
      <w:tblPr>
        <w:tblW w:w="9960" w:type="dxa"/>
        <w:tblInd w:w="-456" w:type="dxa"/>
        <w:tblCellMar>
          <w:left w:w="70" w:type="dxa"/>
          <w:right w:w="70" w:type="dxa"/>
        </w:tblCellMar>
        <w:tblLook w:val="04A0" w:firstRow="1" w:lastRow="0" w:firstColumn="1" w:lastColumn="0" w:noHBand="0" w:noVBand="1"/>
      </w:tblPr>
      <w:tblGrid>
        <w:gridCol w:w="1083"/>
        <w:gridCol w:w="934"/>
        <w:gridCol w:w="1643"/>
        <w:gridCol w:w="1135"/>
        <w:gridCol w:w="1090"/>
        <w:gridCol w:w="1640"/>
        <w:gridCol w:w="1090"/>
        <w:gridCol w:w="1345"/>
      </w:tblGrid>
      <w:tr w:rsidR="00EB19A8" w:rsidRPr="00EB19A8" w14:paraId="56A15729" w14:textId="77777777" w:rsidTr="00EB19A8">
        <w:trPr>
          <w:trHeight w:val="933"/>
        </w:trPr>
        <w:tc>
          <w:tcPr>
            <w:tcW w:w="570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8BA96" w14:textId="71630E42" w:rsidR="00EB19A8" w:rsidRPr="00EB19A8" w:rsidRDefault="00EB19A8" w:rsidP="00EB19A8">
            <w:pPr>
              <w:jc w:val="center"/>
              <w:rPr>
                <w:rFonts w:ascii="Calibri" w:hAnsi="Calibri" w:cs="Calibri"/>
                <w:b/>
                <w:bCs/>
                <w:color w:val="000000"/>
                <w:sz w:val="22"/>
                <w:szCs w:val="22"/>
                <w:lang w:val="es-MX"/>
              </w:rPr>
            </w:pPr>
            <w:r w:rsidRPr="00EB19A8">
              <w:rPr>
                <w:rFonts w:ascii="Calibri" w:hAnsi="Calibri" w:cs="Calibri"/>
                <w:b/>
                <w:bCs/>
                <w:color w:val="000000"/>
                <w:sz w:val="22"/>
                <w:szCs w:val="22"/>
                <w:lang w:val="es-MX"/>
              </w:rPr>
              <w:t>EMPLEOS PLANTA GLOBAL</w:t>
            </w:r>
          </w:p>
        </w:tc>
        <w:tc>
          <w:tcPr>
            <w:tcW w:w="1749" w:type="dxa"/>
            <w:tcBorders>
              <w:top w:val="single" w:sz="4" w:space="0" w:color="auto"/>
              <w:left w:val="nil"/>
              <w:bottom w:val="single" w:sz="4" w:space="0" w:color="auto"/>
              <w:right w:val="single" w:sz="4" w:space="0" w:color="000000"/>
            </w:tcBorders>
            <w:shd w:val="clear" w:color="auto" w:fill="auto"/>
            <w:vAlign w:val="center"/>
            <w:hideMark/>
          </w:tcPr>
          <w:p w14:paraId="1BDAFA57" w14:textId="77777777" w:rsidR="00EB19A8" w:rsidRPr="00EB19A8" w:rsidRDefault="00EB19A8" w:rsidP="00EB19A8">
            <w:pPr>
              <w:jc w:val="center"/>
              <w:rPr>
                <w:rFonts w:ascii="Calibri" w:hAnsi="Calibri" w:cs="Calibri"/>
                <w:b/>
                <w:bCs/>
                <w:color w:val="000000"/>
                <w:sz w:val="22"/>
                <w:szCs w:val="22"/>
                <w:lang w:val="es-MX"/>
              </w:rPr>
            </w:pPr>
            <w:r w:rsidRPr="00EB19A8">
              <w:rPr>
                <w:rFonts w:ascii="Calibri" w:hAnsi="Calibri" w:cs="Calibri"/>
                <w:b/>
                <w:bCs/>
                <w:color w:val="000000"/>
                <w:sz w:val="22"/>
                <w:szCs w:val="22"/>
                <w:lang w:val="es-MX"/>
              </w:rPr>
              <w:t>Empleados públicos</w:t>
            </w:r>
          </w:p>
        </w:tc>
        <w:tc>
          <w:tcPr>
            <w:tcW w:w="2504" w:type="dxa"/>
            <w:gridSpan w:val="2"/>
            <w:tcBorders>
              <w:top w:val="single" w:sz="4" w:space="0" w:color="auto"/>
              <w:left w:val="nil"/>
              <w:bottom w:val="single" w:sz="4" w:space="0" w:color="auto"/>
              <w:right w:val="single" w:sz="4" w:space="0" w:color="000000"/>
            </w:tcBorders>
            <w:shd w:val="clear" w:color="auto" w:fill="auto"/>
            <w:vAlign w:val="center"/>
            <w:hideMark/>
          </w:tcPr>
          <w:p w14:paraId="3AC29A2C" w14:textId="77777777" w:rsidR="00EB19A8" w:rsidRPr="00EB19A8" w:rsidRDefault="00EB19A8" w:rsidP="00EB19A8">
            <w:pPr>
              <w:jc w:val="center"/>
              <w:rPr>
                <w:rFonts w:ascii="Calibri" w:hAnsi="Calibri" w:cs="Calibri"/>
                <w:b/>
                <w:bCs/>
                <w:color w:val="000000"/>
                <w:sz w:val="22"/>
                <w:szCs w:val="22"/>
                <w:lang w:val="es-MX"/>
              </w:rPr>
            </w:pPr>
            <w:r w:rsidRPr="00EB19A8">
              <w:rPr>
                <w:rFonts w:ascii="Calibri" w:hAnsi="Calibri" w:cs="Calibri"/>
                <w:b/>
                <w:bCs/>
                <w:color w:val="000000"/>
                <w:sz w:val="22"/>
                <w:szCs w:val="22"/>
                <w:lang w:val="es-MX"/>
              </w:rPr>
              <w:t>Planta de cargos 53</w:t>
            </w:r>
          </w:p>
        </w:tc>
      </w:tr>
      <w:tr w:rsidR="00EB19A8" w:rsidRPr="00EB19A8" w14:paraId="4568755D" w14:textId="77777777" w:rsidTr="00EB19A8">
        <w:trPr>
          <w:trHeight w:val="622"/>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14:paraId="06999D2F" w14:textId="77777777" w:rsidR="00EB19A8" w:rsidRPr="00EB19A8" w:rsidRDefault="00EB19A8" w:rsidP="00EB19A8">
            <w:pPr>
              <w:jc w:val="center"/>
              <w:rPr>
                <w:rFonts w:ascii="Calibri" w:hAnsi="Calibri" w:cs="Calibri"/>
                <w:color w:val="000000"/>
                <w:sz w:val="22"/>
                <w:szCs w:val="22"/>
                <w:lang w:val="es-MX"/>
              </w:rPr>
            </w:pPr>
            <w:r w:rsidRPr="00EB19A8">
              <w:rPr>
                <w:rFonts w:ascii="Calibri" w:hAnsi="Calibri" w:cs="Calibri"/>
                <w:color w:val="000000"/>
                <w:sz w:val="22"/>
                <w:szCs w:val="22"/>
                <w:lang w:val="es-MX"/>
              </w:rPr>
              <w:t>1(gerente)</w:t>
            </w:r>
          </w:p>
        </w:tc>
        <w:tc>
          <w:tcPr>
            <w:tcW w:w="922" w:type="dxa"/>
            <w:tcBorders>
              <w:top w:val="nil"/>
              <w:left w:val="nil"/>
              <w:bottom w:val="single" w:sz="4" w:space="0" w:color="auto"/>
              <w:right w:val="single" w:sz="4" w:space="0" w:color="auto"/>
            </w:tcBorders>
            <w:shd w:val="clear" w:color="auto" w:fill="auto"/>
            <w:noWrap/>
            <w:vAlign w:val="center"/>
            <w:hideMark/>
          </w:tcPr>
          <w:p w14:paraId="4E2FCD05" w14:textId="77777777" w:rsidR="00EB19A8" w:rsidRPr="00EB19A8" w:rsidRDefault="00EB19A8" w:rsidP="00EB19A8">
            <w:pPr>
              <w:jc w:val="center"/>
              <w:rPr>
                <w:rFonts w:ascii="Calibri" w:hAnsi="Calibri" w:cs="Calibri"/>
                <w:color w:val="000000"/>
                <w:sz w:val="22"/>
                <w:szCs w:val="22"/>
                <w:lang w:val="es-MX"/>
              </w:rPr>
            </w:pPr>
            <w:r w:rsidRPr="00EB19A8">
              <w:rPr>
                <w:rFonts w:ascii="Calibri" w:hAnsi="Calibri" w:cs="Calibri"/>
                <w:color w:val="000000"/>
                <w:sz w:val="22"/>
                <w:szCs w:val="22"/>
                <w:lang w:val="es-MX"/>
              </w:rPr>
              <w:t>1 (médico)</w:t>
            </w:r>
          </w:p>
        </w:tc>
        <w:tc>
          <w:tcPr>
            <w:tcW w:w="1672" w:type="dxa"/>
            <w:tcBorders>
              <w:top w:val="nil"/>
              <w:left w:val="nil"/>
              <w:bottom w:val="single" w:sz="4" w:space="0" w:color="auto"/>
              <w:right w:val="single" w:sz="4" w:space="0" w:color="auto"/>
            </w:tcBorders>
            <w:shd w:val="clear" w:color="auto" w:fill="auto"/>
            <w:vAlign w:val="bottom"/>
            <w:hideMark/>
          </w:tcPr>
          <w:p w14:paraId="1AD91475" w14:textId="77777777" w:rsidR="00EB19A8" w:rsidRPr="00EB19A8" w:rsidRDefault="00EB19A8" w:rsidP="00EB19A8">
            <w:pPr>
              <w:jc w:val="center"/>
              <w:rPr>
                <w:rFonts w:ascii="Calibri" w:hAnsi="Calibri" w:cs="Calibri"/>
                <w:color w:val="000000"/>
                <w:sz w:val="22"/>
                <w:szCs w:val="22"/>
                <w:lang w:val="es-MX"/>
              </w:rPr>
            </w:pPr>
            <w:r w:rsidRPr="00EB19A8">
              <w:rPr>
                <w:rFonts w:ascii="Calibri" w:hAnsi="Calibri" w:cs="Calibri"/>
                <w:color w:val="000000"/>
                <w:sz w:val="22"/>
                <w:szCs w:val="22"/>
                <w:lang w:val="es-MX"/>
              </w:rPr>
              <w:t>1(Subdirectora Administrativa)</w:t>
            </w:r>
          </w:p>
        </w:tc>
        <w:tc>
          <w:tcPr>
            <w:tcW w:w="1047" w:type="dxa"/>
            <w:tcBorders>
              <w:top w:val="nil"/>
              <w:left w:val="nil"/>
              <w:bottom w:val="single" w:sz="4" w:space="0" w:color="auto"/>
              <w:right w:val="single" w:sz="4" w:space="0" w:color="auto"/>
            </w:tcBorders>
            <w:shd w:val="clear" w:color="auto" w:fill="auto"/>
            <w:vAlign w:val="center"/>
            <w:hideMark/>
          </w:tcPr>
          <w:p w14:paraId="14F2859A" w14:textId="77777777" w:rsidR="00EB19A8" w:rsidRPr="00EB19A8" w:rsidRDefault="00EB19A8" w:rsidP="00EB19A8">
            <w:pPr>
              <w:jc w:val="center"/>
              <w:rPr>
                <w:rFonts w:ascii="Calibri" w:hAnsi="Calibri" w:cs="Calibri"/>
                <w:color w:val="000000"/>
                <w:sz w:val="22"/>
                <w:szCs w:val="22"/>
                <w:lang w:val="es-MX"/>
              </w:rPr>
            </w:pPr>
            <w:r w:rsidRPr="00EB19A8">
              <w:rPr>
                <w:rFonts w:ascii="Calibri" w:hAnsi="Calibri" w:cs="Calibri"/>
                <w:color w:val="000000"/>
                <w:sz w:val="22"/>
                <w:szCs w:val="22"/>
                <w:lang w:val="es-MX"/>
              </w:rPr>
              <w:t>39</w:t>
            </w:r>
          </w:p>
        </w:tc>
        <w:tc>
          <w:tcPr>
            <w:tcW w:w="1065" w:type="dxa"/>
            <w:tcBorders>
              <w:top w:val="nil"/>
              <w:left w:val="nil"/>
              <w:bottom w:val="single" w:sz="4" w:space="0" w:color="auto"/>
              <w:right w:val="single" w:sz="4" w:space="0" w:color="auto"/>
            </w:tcBorders>
            <w:shd w:val="clear" w:color="auto" w:fill="auto"/>
            <w:vAlign w:val="center"/>
            <w:hideMark/>
          </w:tcPr>
          <w:p w14:paraId="36FC2828" w14:textId="77777777" w:rsidR="00EB19A8" w:rsidRPr="00EB19A8" w:rsidRDefault="00EB19A8" w:rsidP="00EB19A8">
            <w:pPr>
              <w:jc w:val="center"/>
              <w:rPr>
                <w:rFonts w:ascii="Calibri" w:hAnsi="Calibri" w:cs="Calibri"/>
                <w:color w:val="000000"/>
                <w:sz w:val="22"/>
                <w:szCs w:val="22"/>
                <w:lang w:val="es-MX"/>
              </w:rPr>
            </w:pPr>
            <w:r w:rsidRPr="00EB19A8">
              <w:rPr>
                <w:rFonts w:ascii="Calibri" w:hAnsi="Calibri" w:cs="Calibri"/>
                <w:color w:val="000000"/>
                <w:sz w:val="22"/>
                <w:szCs w:val="22"/>
                <w:lang w:val="es-MX"/>
              </w:rPr>
              <w:t>4</w:t>
            </w:r>
          </w:p>
        </w:tc>
        <w:tc>
          <w:tcPr>
            <w:tcW w:w="1749" w:type="dxa"/>
            <w:tcBorders>
              <w:top w:val="single" w:sz="4" w:space="0" w:color="auto"/>
              <w:left w:val="nil"/>
              <w:bottom w:val="single" w:sz="4" w:space="0" w:color="auto"/>
              <w:right w:val="single" w:sz="4" w:space="0" w:color="000000"/>
            </w:tcBorders>
            <w:shd w:val="clear" w:color="auto" w:fill="auto"/>
            <w:vAlign w:val="center"/>
            <w:hideMark/>
          </w:tcPr>
          <w:p w14:paraId="029D5DC0" w14:textId="77777777" w:rsidR="00EB19A8" w:rsidRPr="00EB19A8" w:rsidRDefault="00EB19A8" w:rsidP="00EB19A8">
            <w:pPr>
              <w:jc w:val="center"/>
              <w:rPr>
                <w:rFonts w:ascii="Calibri" w:hAnsi="Calibri" w:cs="Calibri"/>
                <w:color w:val="000000"/>
                <w:sz w:val="22"/>
                <w:szCs w:val="22"/>
                <w:lang w:val="es-MX"/>
              </w:rPr>
            </w:pPr>
            <w:r w:rsidRPr="00EB19A8">
              <w:rPr>
                <w:rFonts w:ascii="Calibri" w:hAnsi="Calibri" w:cs="Calibri"/>
                <w:color w:val="000000"/>
                <w:sz w:val="22"/>
                <w:szCs w:val="22"/>
                <w:lang w:val="es-MX"/>
              </w:rPr>
              <w:t>7</w:t>
            </w:r>
          </w:p>
        </w:tc>
        <w:tc>
          <w:tcPr>
            <w:tcW w:w="1046" w:type="dxa"/>
            <w:tcBorders>
              <w:top w:val="nil"/>
              <w:left w:val="nil"/>
              <w:bottom w:val="single" w:sz="4" w:space="0" w:color="auto"/>
              <w:right w:val="single" w:sz="4" w:space="0" w:color="auto"/>
            </w:tcBorders>
            <w:shd w:val="clear" w:color="auto" w:fill="auto"/>
            <w:vAlign w:val="center"/>
            <w:hideMark/>
          </w:tcPr>
          <w:p w14:paraId="6A2252B5" w14:textId="77777777" w:rsidR="00EB19A8" w:rsidRPr="00EB19A8" w:rsidRDefault="00EB19A8" w:rsidP="00EB19A8">
            <w:pPr>
              <w:jc w:val="center"/>
              <w:rPr>
                <w:rFonts w:ascii="Calibri" w:hAnsi="Calibri" w:cs="Calibri"/>
                <w:color w:val="000000"/>
                <w:sz w:val="22"/>
                <w:szCs w:val="22"/>
                <w:lang w:val="es-MX"/>
              </w:rPr>
            </w:pPr>
            <w:r w:rsidRPr="00EB19A8">
              <w:rPr>
                <w:rFonts w:ascii="Calibri" w:hAnsi="Calibri" w:cs="Calibri"/>
                <w:color w:val="000000"/>
                <w:sz w:val="22"/>
                <w:szCs w:val="22"/>
                <w:lang w:val="es-MX"/>
              </w:rPr>
              <w:t>21</w:t>
            </w:r>
          </w:p>
        </w:tc>
        <w:tc>
          <w:tcPr>
            <w:tcW w:w="1458" w:type="dxa"/>
            <w:tcBorders>
              <w:top w:val="nil"/>
              <w:left w:val="nil"/>
              <w:bottom w:val="single" w:sz="4" w:space="0" w:color="auto"/>
              <w:right w:val="single" w:sz="4" w:space="0" w:color="auto"/>
            </w:tcBorders>
            <w:shd w:val="clear" w:color="auto" w:fill="auto"/>
            <w:vAlign w:val="center"/>
            <w:hideMark/>
          </w:tcPr>
          <w:p w14:paraId="41CBE04B" w14:textId="77777777" w:rsidR="00EB19A8" w:rsidRPr="00EB19A8" w:rsidRDefault="00EB19A8" w:rsidP="00EB19A8">
            <w:pPr>
              <w:jc w:val="center"/>
              <w:rPr>
                <w:rFonts w:ascii="Calibri" w:hAnsi="Calibri" w:cs="Calibri"/>
                <w:color w:val="000000"/>
                <w:sz w:val="22"/>
                <w:szCs w:val="22"/>
                <w:lang w:val="es-MX"/>
              </w:rPr>
            </w:pPr>
            <w:r w:rsidRPr="00EB19A8">
              <w:rPr>
                <w:rFonts w:ascii="Calibri" w:hAnsi="Calibri" w:cs="Calibri"/>
                <w:color w:val="000000"/>
                <w:sz w:val="22"/>
                <w:szCs w:val="22"/>
                <w:lang w:val="es-MX"/>
              </w:rPr>
              <w:t>32</w:t>
            </w:r>
          </w:p>
        </w:tc>
      </w:tr>
      <w:tr w:rsidR="00EB19A8" w:rsidRPr="00EB19A8" w14:paraId="34882B7C" w14:textId="77777777" w:rsidTr="00EB19A8">
        <w:trPr>
          <w:trHeight w:val="529"/>
        </w:trPr>
        <w:tc>
          <w:tcPr>
            <w:tcW w:w="1001" w:type="dxa"/>
            <w:tcBorders>
              <w:top w:val="nil"/>
              <w:left w:val="single" w:sz="4" w:space="0" w:color="auto"/>
              <w:bottom w:val="single" w:sz="4" w:space="0" w:color="auto"/>
              <w:right w:val="single" w:sz="4" w:space="0" w:color="auto"/>
            </w:tcBorders>
            <w:shd w:val="clear" w:color="auto" w:fill="auto"/>
            <w:hideMark/>
          </w:tcPr>
          <w:p w14:paraId="536B3BA3" w14:textId="77777777" w:rsidR="00EB19A8" w:rsidRPr="00EB19A8" w:rsidRDefault="00EB19A8" w:rsidP="00EB19A8">
            <w:pPr>
              <w:jc w:val="center"/>
              <w:rPr>
                <w:rFonts w:ascii="Calibri" w:hAnsi="Calibri" w:cs="Calibri"/>
                <w:color w:val="000000"/>
                <w:sz w:val="16"/>
                <w:szCs w:val="16"/>
                <w:lang w:val="es-MX"/>
              </w:rPr>
            </w:pPr>
            <w:r w:rsidRPr="00EB19A8">
              <w:rPr>
                <w:rFonts w:ascii="Calibri" w:hAnsi="Calibri" w:cs="Calibri"/>
                <w:color w:val="000000"/>
                <w:sz w:val="16"/>
                <w:szCs w:val="16"/>
                <w:lang w:val="es-MX"/>
              </w:rPr>
              <w:t>Término fijo 4 años</w:t>
            </w:r>
          </w:p>
        </w:tc>
        <w:tc>
          <w:tcPr>
            <w:tcW w:w="922" w:type="dxa"/>
            <w:tcBorders>
              <w:top w:val="nil"/>
              <w:left w:val="nil"/>
              <w:bottom w:val="single" w:sz="4" w:space="0" w:color="auto"/>
              <w:right w:val="single" w:sz="4" w:space="0" w:color="auto"/>
            </w:tcBorders>
            <w:shd w:val="clear" w:color="auto" w:fill="auto"/>
            <w:hideMark/>
          </w:tcPr>
          <w:p w14:paraId="53DBC7A9" w14:textId="77777777" w:rsidR="00EB19A8" w:rsidRPr="00EB19A8" w:rsidRDefault="00EB19A8" w:rsidP="00EB19A8">
            <w:pPr>
              <w:jc w:val="center"/>
              <w:rPr>
                <w:rFonts w:ascii="Calibri" w:hAnsi="Calibri" w:cs="Calibri"/>
                <w:color w:val="000000"/>
                <w:sz w:val="16"/>
                <w:szCs w:val="16"/>
                <w:lang w:val="es-MX"/>
              </w:rPr>
            </w:pPr>
            <w:r w:rsidRPr="00EB19A8">
              <w:rPr>
                <w:rFonts w:ascii="Calibri" w:hAnsi="Calibri" w:cs="Calibri"/>
                <w:color w:val="000000"/>
                <w:sz w:val="16"/>
                <w:szCs w:val="16"/>
                <w:lang w:val="es-MX"/>
              </w:rPr>
              <w:t>Término fijo 1 año</w:t>
            </w:r>
          </w:p>
        </w:tc>
        <w:tc>
          <w:tcPr>
            <w:tcW w:w="1672" w:type="dxa"/>
            <w:tcBorders>
              <w:top w:val="nil"/>
              <w:left w:val="nil"/>
              <w:bottom w:val="single" w:sz="4" w:space="0" w:color="auto"/>
              <w:right w:val="single" w:sz="4" w:space="0" w:color="auto"/>
            </w:tcBorders>
            <w:shd w:val="clear" w:color="auto" w:fill="auto"/>
            <w:hideMark/>
          </w:tcPr>
          <w:p w14:paraId="31878A5E" w14:textId="77777777" w:rsidR="00EB19A8" w:rsidRPr="00EB19A8" w:rsidRDefault="00EB19A8" w:rsidP="00EB19A8">
            <w:pPr>
              <w:rPr>
                <w:rFonts w:ascii="Calibri" w:hAnsi="Calibri" w:cs="Calibri"/>
                <w:color w:val="000000"/>
                <w:sz w:val="16"/>
                <w:szCs w:val="16"/>
                <w:lang w:val="es-MX"/>
              </w:rPr>
            </w:pPr>
            <w:r w:rsidRPr="00EB19A8">
              <w:rPr>
                <w:rFonts w:ascii="Calibri" w:hAnsi="Calibri" w:cs="Calibri"/>
                <w:color w:val="000000"/>
                <w:sz w:val="16"/>
                <w:szCs w:val="16"/>
                <w:lang w:val="es-MX"/>
              </w:rPr>
              <w:t xml:space="preserve">Libre </w:t>
            </w:r>
            <w:proofErr w:type="spellStart"/>
            <w:r w:rsidRPr="00EB19A8">
              <w:rPr>
                <w:rFonts w:ascii="Calibri" w:hAnsi="Calibri" w:cs="Calibri"/>
                <w:color w:val="000000"/>
                <w:sz w:val="16"/>
                <w:szCs w:val="16"/>
                <w:lang w:val="es-MX"/>
              </w:rPr>
              <w:t>nombraminento</w:t>
            </w:r>
            <w:proofErr w:type="spellEnd"/>
            <w:r w:rsidRPr="00EB19A8">
              <w:rPr>
                <w:rFonts w:ascii="Calibri" w:hAnsi="Calibri" w:cs="Calibri"/>
                <w:color w:val="000000"/>
                <w:sz w:val="16"/>
                <w:szCs w:val="16"/>
                <w:lang w:val="es-MX"/>
              </w:rPr>
              <w:t xml:space="preserve"> y remoción</w:t>
            </w:r>
          </w:p>
        </w:tc>
        <w:tc>
          <w:tcPr>
            <w:tcW w:w="1047" w:type="dxa"/>
            <w:tcBorders>
              <w:top w:val="nil"/>
              <w:left w:val="nil"/>
              <w:bottom w:val="single" w:sz="4" w:space="0" w:color="auto"/>
              <w:right w:val="single" w:sz="4" w:space="0" w:color="auto"/>
            </w:tcBorders>
            <w:shd w:val="clear" w:color="auto" w:fill="auto"/>
            <w:hideMark/>
          </w:tcPr>
          <w:p w14:paraId="37D4082C" w14:textId="77777777" w:rsidR="00EB19A8" w:rsidRPr="00EB19A8" w:rsidRDefault="00EB19A8" w:rsidP="00EB19A8">
            <w:pPr>
              <w:jc w:val="center"/>
              <w:rPr>
                <w:rFonts w:ascii="Calibri" w:hAnsi="Calibri" w:cs="Calibri"/>
                <w:color w:val="000000"/>
                <w:sz w:val="16"/>
                <w:szCs w:val="16"/>
                <w:lang w:val="es-MX"/>
              </w:rPr>
            </w:pPr>
            <w:r w:rsidRPr="00EB19A8">
              <w:rPr>
                <w:rFonts w:ascii="Calibri" w:hAnsi="Calibri" w:cs="Calibri"/>
                <w:color w:val="000000"/>
                <w:sz w:val="16"/>
                <w:szCs w:val="16"/>
                <w:lang w:val="es-MX"/>
              </w:rPr>
              <w:t>Provisionalidad</w:t>
            </w:r>
          </w:p>
        </w:tc>
        <w:tc>
          <w:tcPr>
            <w:tcW w:w="1065" w:type="dxa"/>
            <w:tcBorders>
              <w:top w:val="nil"/>
              <w:left w:val="nil"/>
              <w:bottom w:val="single" w:sz="4" w:space="0" w:color="auto"/>
              <w:right w:val="single" w:sz="4" w:space="0" w:color="auto"/>
            </w:tcBorders>
            <w:shd w:val="clear" w:color="auto" w:fill="auto"/>
            <w:hideMark/>
          </w:tcPr>
          <w:p w14:paraId="5C4A5986" w14:textId="77777777" w:rsidR="00EB19A8" w:rsidRPr="00EB19A8" w:rsidRDefault="00EB19A8" w:rsidP="00EB19A8">
            <w:pPr>
              <w:rPr>
                <w:rFonts w:ascii="Calibri" w:hAnsi="Calibri" w:cs="Calibri"/>
                <w:color w:val="000000"/>
                <w:sz w:val="16"/>
                <w:szCs w:val="16"/>
                <w:lang w:val="es-MX"/>
              </w:rPr>
            </w:pPr>
            <w:r w:rsidRPr="00EB19A8">
              <w:rPr>
                <w:rFonts w:ascii="Calibri" w:hAnsi="Calibri" w:cs="Calibri"/>
                <w:color w:val="000000"/>
                <w:sz w:val="16"/>
                <w:szCs w:val="16"/>
                <w:lang w:val="es-MX"/>
              </w:rPr>
              <w:t>Carrera Administrativa</w:t>
            </w:r>
          </w:p>
        </w:tc>
        <w:tc>
          <w:tcPr>
            <w:tcW w:w="1749" w:type="dxa"/>
            <w:tcBorders>
              <w:top w:val="single" w:sz="4" w:space="0" w:color="auto"/>
              <w:left w:val="nil"/>
              <w:bottom w:val="single" w:sz="4" w:space="0" w:color="auto"/>
              <w:right w:val="single" w:sz="4" w:space="0" w:color="000000"/>
            </w:tcBorders>
            <w:shd w:val="clear" w:color="auto" w:fill="auto"/>
            <w:hideMark/>
          </w:tcPr>
          <w:p w14:paraId="2B5945D8" w14:textId="77777777" w:rsidR="00EB19A8" w:rsidRPr="00EB19A8" w:rsidRDefault="00EB19A8" w:rsidP="00EB19A8">
            <w:pPr>
              <w:jc w:val="center"/>
              <w:rPr>
                <w:rFonts w:ascii="Calibri" w:hAnsi="Calibri" w:cs="Calibri"/>
                <w:color w:val="000000"/>
                <w:sz w:val="16"/>
                <w:szCs w:val="16"/>
                <w:lang w:val="es-MX"/>
              </w:rPr>
            </w:pPr>
            <w:r w:rsidRPr="00EB19A8">
              <w:rPr>
                <w:rFonts w:ascii="Calibri" w:hAnsi="Calibri" w:cs="Calibri"/>
                <w:color w:val="000000"/>
                <w:sz w:val="16"/>
                <w:szCs w:val="16"/>
                <w:lang w:val="es-MX"/>
              </w:rPr>
              <w:t xml:space="preserve">4 servicios </w:t>
            </w:r>
            <w:proofErr w:type="spellStart"/>
            <w:r w:rsidRPr="00EB19A8">
              <w:rPr>
                <w:rFonts w:ascii="Calibri" w:hAnsi="Calibri" w:cs="Calibri"/>
                <w:color w:val="000000"/>
                <w:sz w:val="16"/>
                <w:szCs w:val="16"/>
                <w:lang w:val="es-MX"/>
              </w:rPr>
              <w:t>grales</w:t>
            </w:r>
            <w:proofErr w:type="spellEnd"/>
            <w:r w:rsidRPr="00EB19A8">
              <w:rPr>
                <w:rFonts w:ascii="Calibri" w:hAnsi="Calibri" w:cs="Calibri"/>
                <w:color w:val="000000"/>
                <w:sz w:val="16"/>
                <w:szCs w:val="16"/>
                <w:lang w:val="es-MX"/>
              </w:rPr>
              <w:t>, 2 conductores y 1 operario</w:t>
            </w:r>
          </w:p>
        </w:tc>
        <w:tc>
          <w:tcPr>
            <w:tcW w:w="1046" w:type="dxa"/>
            <w:tcBorders>
              <w:top w:val="nil"/>
              <w:left w:val="nil"/>
              <w:bottom w:val="single" w:sz="4" w:space="0" w:color="auto"/>
              <w:right w:val="single" w:sz="4" w:space="0" w:color="auto"/>
            </w:tcBorders>
            <w:shd w:val="clear" w:color="auto" w:fill="auto"/>
            <w:hideMark/>
          </w:tcPr>
          <w:p w14:paraId="1AD932FB" w14:textId="77777777" w:rsidR="00EB19A8" w:rsidRPr="00EB19A8" w:rsidRDefault="00EB19A8" w:rsidP="00EB19A8">
            <w:pPr>
              <w:rPr>
                <w:rFonts w:ascii="Calibri" w:hAnsi="Calibri" w:cs="Calibri"/>
                <w:color w:val="000000"/>
                <w:sz w:val="16"/>
                <w:szCs w:val="16"/>
                <w:lang w:val="es-MX"/>
              </w:rPr>
            </w:pPr>
            <w:r w:rsidRPr="00EB19A8">
              <w:rPr>
                <w:rFonts w:ascii="Calibri" w:hAnsi="Calibri" w:cs="Calibri"/>
                <w:color w:val="000000"/>
                <w:sz w:val="16"/>
                <w:szCs w:val="16"/>
                <w:lang w:val="es-MX"/>
              </w:rPr>
              <w:t>Área Administrativa</w:t>
            </w:r>
          </w:p>
        </w:tc>
        <w:tc>
          <w:tcPr>
            <w:tcW w:w="1458" w:type="dxa"/>
            <w:tcBorders>
              <w:top w:val="nil"/>
              <w:left w:val="nil"/>
              <w:bottom w:val="single" w:sz="4" w:space="0" w:color="auto"/>
              <w:right w:val="single" w:sz="4" w:space="0" w:color="auto"/>
            </w:tcBorders>
            <w:shd w:val="clear" w:color="auto" w:fill="auto"/>
            <w:hideMark/>
          </w:tcPr>
          <w:p w14:paraId="198593EA" w14:textId="77777777" w:rsidR="00EB19A8" w:rsidRPr="00EB19A8" w:rsidRDefault="00EB19A8" w:rsidP="00EB19A8">
            <w:pPr>
              <w:rPr>
                <w:rFonts w:ascii="Calibri" w:hAnsi="Calibri" w:cs="Calibri"/>
                <w:color w:val="000000"/>
                <w:sz w:val="16"/>
                <w:szCs w:val="16"/>
                <w:lang w:val="es-MX"/>
              </w:rPr>
            </w:pPr>
            <w:r w:rsidRPr="00EB19A8">
              <w:rPr>
                <w:rFonts w:ascii="Calibri" w:hAnsi="Calibri" w:cs="Calibri"/>
                <w:color w:val="000000"/>
                <w:sz w:val="16"/>
                <w:szCs w:val="16"/>
                <w:lang w:val="es-MX"/>
              </w:rPr>
              <w:t>Área Asistencial</w:t>
            </w:r>
          </w:p>
        </w:tc>
      </w:tr>
    </w:tbl>
    <w:p w14:paraId="6DAF70B5" w14:textId="77777777" w:rsidR="0078261D" w:rsidRPr="00300F78" w:rsidRDefault="0078261D" w:rsidP="00E525FB">
      <w:pPr>
        <w:jc w:val="both"/>
        <w:rPr>
          <w:sz w:val="16"/>
          <w:szCs w:val="16"/>
        </w:rPr>
      </w:pPr>
      <w:r w:rsidRPr="00300F78">
        <w:rPr>
          <w:sz w:val="16"/>
          <w:szCs w:val="16"/>
        </w:rPr>
        <w:t>Fuente</w:t>
      </w:r>
      <w:proofErr w:type="gramStart"/>
      <w:r w:rsidRPr="00300F78">
        <w:rPr>
          <w:sz w:val="16"/>
          <w:szCs w:val="16"/>
        </w:rPr>
        <w:t xml:space="preserve">:  </w:t>
      </w:r>
      <w:r w:rsidR="00300F78" w:rsidRPr="00300F78">
        <w:rPr>
          <w:sz w:val="16"/>
          <w:szCs w:val="16"/>
        </w:rPr>
        <w:t>Planta</w:t>
      </w:r>
      <w:proofErr w:type="gramEnd"/>
      <w:r w:rsidR="00300F78" w:rsidRPr="00300F78">
        <w:rPr>
          <w:sz w:val="16"/>
          <w:szCs w:val="16"/>
        </w:rPr>
        <w:t xml:space="preserve"> de cargos institucional y el SIHO, Gestión Transparente y del informe de contratación.</w:t>
      </w:r>
    </w:p>
    <w:p w14:paraId="7E83B188" w14:textId="77777777" w:rsidR="00B50D49" w:rsidRPr="00C54C66" w:rsidRDefault="00B50D49" w:rsidP="00E525FB">
      <w:pPr>
        <w:jc w:val="both"/>
        <w:rPr>
          <w:sz w:val="16"/>
          <w:szCs w:val="16"/>
        </w:rPr>
      </w:pPr>
    </w:p>
    <w:p w14:paraId="1093BB8F" w14:textId="77777777" w:rsidR="00AD1EFA" w:rsidRDefault="00AD1EFA" w:rsidP="00B50D49">
      <w:pPr>
        <w:jc w:val="both"/>
      </w:pPr>
    </w:p>
    <w:p w14:paraId="5CC25F18" w14:textId="77777777" w:rsidR="00AD1EFA" w:rsidRDefault="00AD1EFA" w:rsidP="00B50D49">
      <w:pPr>
        <w:jc w:val="both"/>
      </w:pPr>
    </w:p>
    <w:p w14:paraId="1D3EB042" w14:textId="77777777" w:rsidR="00B50D49" w:rsidRPr="00300F78" w:rsidRDefault="00B50D49" w:rsidP="00B50D49">
      <w:pPr>
        <w:jc w:val="both"/>
      </w:pPr>
      <w:r w:rsidRPr="00C54C66">
        <w:t>La Estructura orgánica de la empresa se encuentra avalada mediante Acuerdo de Junta Directiva No.</w:t>
      </w:r>
      <w:r w:rsidR="00C54C66">
        <w:t>12</w:t>
      </w:r>
      <w:r w:rsidRPr="00C54C66">
        <w:t xml:space="preserve"> De 20</w:t>
      </w:r>
      <w:r w:rsidR="00C54C66">
        <w:t>09</w:t>
      </w:r>
      <w:r w:rsidRPr="00C54C66">
        <w:t xml:space="preserve">, </w:t>
      </w:r>
      <w:r w:rsidRPr="00300F78">
        <w:t xml:space="preserve">mediante </w:t>
      </w:r>
      <w:r w:rsidR="00300F78" w:rsidRPr="00300F78">
        <w:t>Acuerdo 15 de 2010</w:t>
      </w:r>
      <w:r w:rsidRPr="00300F78">
        <w:t xml:space="preserve"> se adopta </w:t>
      </w:r>
      <w:r w:rsidR="00300F78" w:rsidRPr="00300F78">
        <w:t xml:space="preserve">el mapa de procesos, que fue modificado mediante el </w:t>
      </w:r>
      <w:r w:rsidR="00300F78">
        <w:t xml:space="preserve">Acuerdo No. 6 de 2017. </w:t>
      </w:r>
      <w:r w:rsidRPr="00300F78">
        <w:t xml:space="preserve">Lo anterior para apoyar la necesidad de que la E.S.E. </w:t>
      </w:r>
      <w:r w:rsidR="00940657" w:rsidRPr="00300F78">
        <w:t>Hospital Santa Isabel a</w:t>
      </w:r>
      <w:r w:rsidRPr="00300F78">
        <w:t xml:space="preserve">lcance altos estándares de calidad a través de un cuidadoso ejercicio de auto evaluación, ya que el talento humano </w:t>
      </w:r>
      <w:r w:rsidR="00940657" w:rsidRPr="00300F78">
        <w:t>es</w:t>
      </w:r>
      <w:r w:rsidRPr="00300F78">
        <w:t xml:space="preserve"> la clave del éxito en el proceso de mejoramiento </w:t>
      </w:r>
      <w:proofErr w:type="gramStart"/>
      <w:r w:rsidRPr="00300F78">
        <w:t>continuo</w:t>
      </w:r>
      <w:proofErr w:type="gramEnd"/>
      <w:r w:rsidRPr="00300F78">
        <w:t xml:space="preserve"> de la calidad. </w:t>
      </w:r>
    </w:p>
    <w:p w14:paraId="08FCA594" w14:textId="77777777" w:rsidR="00B50D49" w:rsidRDefault="00B50D49" w:rsidP="00B50D49">
      <w:pPr>
        <w:jc w:val="both"/>
      </w:pPr>
      <w:r w:rsidRPr="00B50D49">
        <w:t xml:space="preserve"> </w:t>
      </w:r>
    </w:p>
    <w:p w14:paraId="6D745D4A" w14:textId="77777777" w:rsidR="00947052" w:rsidRDefault="00947052" w:rsidP="00B50D49">
      <w:pPr>
        <w:jc w:val="both"/>
      </w:pPr>
    </w:p>
    <w:p w14:paraId="242BDA3E" w14:textId="77777777" w:rsidR="00947052" w:rsidRPr="00B50D49" w:rsidRDefault="00947052" w:rsidP="00B50D49">
      <w:pPr>
        <w:jc w:val="both"/>
      </w:pPr>
    </w:p>
    <w:p w14:paraId="201448EF" w14:textId="77777777" w:rsidR="00B8494C" w:rsidRDefault="00B8494C" w:rsidP="00B50D49">
      <w:pPr>
        <w:jc w:val="both"/>
        <w:rPr>
          <w:b/>
        </w:rPr>
      </w:pPr>
    </w:p>
    <w:p w14:paraId="27C6F0EA" w14:textId="77777777" w:rsidR="00AD1EFA" w:rsidRDefault="00AD1EFA" w:rsidP="00B50D49">
      <w:pPr>
        <w:jc w:val="both"/>
        <w:rPr>
          <w:b/>
        </w:rPr>
      </w:pPr>
    </w:p>
    <w:p w14:paraId="161508A4" w14:textId="77777777" w:rsidR="00AD1EFA" w:rsidRDefault="00AD1EFA" w:rsidP="00B50D49">
      <w:pPr>
        <w:jc w:val="both"/>
        <w:rPr>
          <w:b/>
        </w:rPr>
      </w:pPr>
    </w:p>
    <w:p w14:paraId="5F68CAD2" w14:textId="7941C61A" w:rsidR="00B50D49" w:rsidRPr="00947052" w:rsidRDefault="00947052" w:rsidP="00B50D49">
      <w:pPr>
        <w:jc w:val="both"/>
        <w:rPr>
          <w:b/>
        </w:rPr>
      </w:pPr>
      <w:r w:rsidRPr="00947052">
        <w:rPr>
          <w:b/>
        </w:rPr>
        <w:t xml:space="preserve">Nómina y </w:t>
      </w:r>
      <w:r w:rsidR="00B50D49" w:rsidRPr="00947052">
        <w:rPr>
          <w:b/>
        </w:rPr>
        <w:t xml:space="preserve">Prestaciones Sociales </w:t>
      </w:r>
    </w:p>
    <w:p w14:paraId="5239D2FF" w14:textId="77777777" w:rsidR="00B50D49" w:rsidRPr="00B50D49" w:rsidRDefault="00B50D49" w:rsidP="00B50D49">
      <w:pPr>
        <w:jc w:val="both"/>
      </w:pPr>
      <w:r w:rsidRPr="00B50D49">
        <w:t xml:space="preserve"> </w:t>
      </w:r>
    </w:p>
    <w:p w14:paraId="0F607262" w14:textId="64F0930B" w:rsidR="00B50D49" w:rsidRPr="00B50D49" w:rsidRDefault="00B50D49" w:rsidP="00B50D49">
      <w:pPr>
        <w:jc w:val="both"/>
      </w:pPr>
      <w:r w:rsidRPr="00B50D49">
        <w:t>A continuación, se detallan los gastos</w:t>
      </w:r>
      <w:r w:rsidR="00947052">
        <w:t xml:space="preserve"> más representativos de Nómina y </w:t>
      </w:r>
      <w:r w:rsidR="0080022C">
        <w:t>P</w:t>
      </w:r>
      <w:r w:rsidRPr="00B50D49">
        <w:t xml:space="preserve">restaciones </w:t>
      </w:r>
      <w:r w:rsidR="0080022C">
        <w:t>S</w:t>
      </w:r>
      <w:r w:rsidRPr="00B50D49">
        <w:t xml:space="preserve">ociales </w:t>
      </w:r>
      <w:r w:rsidR="00947052">
        <w:t>con</w:t>
      </w:r>
      <w:r w:rsidRPr="00B50D49">
        <w:t xml:space="preserve"> las variaciones presentadas en el primer trimestre de 20</w:t>
      </w:r>
      <w:r w:rsidR="00E81F03">
        <w:t>20</w:t>
      </w:r>
      <w:r w:rsidRPr="00B50D49">
        <w:t>, comparado con el mismo periodo de la vigencia 201</w:t>
      </w:r>
      <w:r w:rsidR="00E81F03">
        <w:t>9</w:t>
      </w:r>
      <w:r w:rsidRPr="00B50D49">
        <w:t xml:space="preserve">: </w:t>
      </w:r>
    </w:p>
    <w:p w14:paraId="3111B803" w14:textId="77777777" w:rsidR="003F4E0E" w:rsidRDefault="003F4E0E" w:rsidP="00E525FB">
      <w:pPr>
        <w:jc w:val="both"/>
      </w:pPr>
    </w:p>
    <w:p w14:paraId="4C6D6BDD" w14:textId="7A74DF23" w:rsidR="006C0A6C" w:rsidRDefault="002E197D" w:rsidP="00E525FB">
      <w:pPr>
        <w:jc w:val="both"/>
      </w:pPr>
      <w:r w:rsidRPr="000B405D">
        <w:t>S</w:t>
      </w:r>
      <w:r w:rsidR="003F4E0E" w:rsidRPr="000B405D">
        <w:t xml:space="preserve">e puede observar </w:t>
      </w:r>
      <w:r w:rsidR="000B405D" w:rsidRPr="000B405D">
        <w:t xml:space="preserve">en el cuadro comparativo del trimestre, </w:t>
      </w:r>
      <w:r w:rsidR="00224CEB">
        <w:t>(ver archivo anexo)</w:t>
      </w:r>
      <w:r w:rsidR="00D93BEA">
        <w:t>,</w:t>
      </w:r>
      <w:r w:rsidR="00224CEB">
        <w:t xml:space="preserve"> </w:t>
      </w:r>
      <w:r w:rsidR="003F4E0E" w:rsidRPr="000B405D">
        <w:t xml:space="preserve">que las variaciones más representativas se presentaron en los conceptos de </w:t>
      </w:r>
      <w:r w:rsidR="000B405D">
        <w:t>s</w:t>
      </w:r>
      <w:r w:rsidR="003F4E0E" w:rsidRPr="000B405D">
        <w:t xml:space="preserve">ueldos de </w:t>
      </w:r>
      <w:r w:rsidR="000B405D">
        <w:t>personal de n</w:t>
      </w:r>
      <w:r w:rsidR="003F4E0E" w:rsidRPr="000B405D">
        <w:t>ómina,</w:t>
      </w:r>
      <w:r w:rsidR="000B405D">
        <w:t xml:space="preserve"> prima de vacaciones y bonificación por s</w:t>
      </w:r>
      <w:r w:rsidR="003F4E0E" w:rsidRPr="000B405D">
        <w:t>ervicios</w:t>
      </w:r>
      <w:r w:rsidR="00F71DFA">
        <w:t xml:space="preserve"> y honorarios personales indirectos. L</w:t>
      </w:r>
      <w:r w:rsidR="003F4E0E" w:rsidRPr="000B405D">
        <w:t>as anteriores</w:t>
      </w:r>
      <w:r w:rsidR="00851C0E" w:rsidRPr="000B405D">
        <w:t xml:space="preserve"> variaciones se presentan en razón </w:t>
      </w:r>
      <w:r w:rsidR="006C0A6C" w:rsidRPr="000B405D">
        <w:t>a que se contrató una persona auxiliar administrativa para cubrir el turno nocturno en las urgencias que realice  de manera inmediata la documentación requerida por el paciente para que sea atendido o remitido, en caso de requerirlo, sin dilaciones que puedan acarrear consecue</w:t>
      </w:r>
      <w:r w:rsidR="009D3D7F" w:rsidRPr="000B405D">
        <w:t xml:space="preserve">ncias adversas para el paciente, en procura de cumplir con el compromiso propuesto por la administración y todo el personal de la ESE Hospital Santa Isabel, del mejoramiento continuo en la prestación de los servicios a la comunidad San </w:t>
      </w:r>
      <w:proofErr w:type="spellStart"/>
      <w:r w:rsidR="009D3D7F" w:rsidRPr="000B405D">
        <w:t>Pedreña</w:t>
      </w:r>
      <w:proofErr w:type="spellEnd"/>
      <w:r w:rsidR="009D3D7F" w:rsidRPr="000B405D">
        <w:t xml:space="preserve">, usuarios del servicio y sus familias. </w:t>
      </w:r>
      <w:r w:rsidR="000B405D">
        <w:t xml:space="preserve">De igual manera, por el pago de vacaciones </w:t>
      </w:r>
      <w:r w:rsidR="006E68B7">
        <w:t xml:space="preserve">a todo </w:t>
      </w:r>
      <w:r w:rsidR="000B405D">
        <w:t xml:space="preserve">el personal que </w:t>
      </w:r>
      <w:r w:rsidR="006E68B7">
        <w:t xml:space="preserve">tenía </w:t>
      </w:r>
      <w:r w:rsidR="000B405D">
        <w:t>su derecho de</w:t>
      </w:r>
      <w:r w:rsidR="00F14B59">
        <w:t xml:space="preserve"> disfrutarlas</w:t>
      </w:r>
      <w:r w:rsidR="006E68B7">
        <w:t xml:space="preserve"> en razón de la contingencia del Covid-19</w:t>
      </w:r>
      <w:r w:rsidR="0078545C">
        <w:t>.</w:t>
      </w:r>
    </w:p>
    <w:p w14:paraId="475ED3A3" w14:textId="1A9613D7" w:rsidR="00F245E6" w:rsidRDefault="00F245E6" w:rsidP="00E525FB">
      <w:pPr>
        <w:jc w:val="both"/>
      </w:pPr>
      <w:r>
        <w:t>Al 31 de marzo se pagó la liquidación del contrato del Gerente saliente y de personal médico que aumentaron el</w:t>
      </w:r>
      <w:r w:rsidR="00AD1EFA">
        <w:t xml:space="preserve"> gasto para el primer trimestre. (</w:t>
      </w:r>
      <w:proofErr w:type="gramStart"/>
      <w:r w:rsidR="00AD1EFA">
        <w:t>ver</w:t>
      </w:r>
      <w:proofErr w:type="gramEnd"/>
      <w:r w:rsidR="00AD1EFA">
        <w:t xml:space="preserve"> liquidaciones anexas)</w:t>
      </w:r>
    </w:p>
    <w:p w14:paraId="6886FE1B" w14:textId="77777777" w:rsidR="0052084B" w:rsidRDefault="0052084B" w:rsidP="00E525FB">
      <w:pPr>
        <w:jc w:val="both"/>
      </w:pPr>
    </w:p>
    <w:p w14:paraId="1DCF3996" w14:textId="428ECCA6" w:rsidR="0052084B" w:rsidRDefault="0052084B" w:rsidP="0052084B">
      <w:pPr>
        <w:jc w:val="center"/>
      </w:pPr>
      <w:r>
        <w:rPr>
          <w:noProof/>
          <w:lang w:val="es-MX"/>
        </w:rPr>
        <w:lastRenderedPageBreak/>
        <w:drawing>
          <wp:inline distT="0" distB="0" distL="0" distR="0" wp14:anchorId="1B13E97C" wp14:editId="53B30F1A">
            <wp:extent cx="3714750" cy="5410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14750" cy="5410200"/>
                    </a:xfrm>
                    <a:prstGeom prst="rect">
                      <a:avLst/>
                    </a:prstGeom>
                  </pic:spPr>
                </pic:pic>
              </a:graphicData>
            </a:graphic>
          </wp:inline>
        </w:drawing>
      </w:r>
      <w:r>
        <w:rPr>
          <w:noProof/>
          <w:lang w:val="es-MX"/>
        </w:rPr>
        <w:lastRenderedPageBreak/>
        <w:drawing>
          <wp:inline distT="0" distB="0" distL="0" distR="0" wp14:anchorId="2E134293" wp14:editId="33EDDF4A">
            <wp:extent cx="3790950" cy="54768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90950" cy="5476875"/>
                    </a:xfrm>
                    <a:prstGeom prst="rect">
                      <a:avLst/>
                    </a:prstGeom>
                  </pic:spPr>
                </pic:pic>
              </a:graphicData>
            </a:graphic>
          </wp:inline>
        </w:drawing>
      </w:r>
    </w:p>
    <w:p w14:paraId="31E0F8EC" w14:textId="77777777" w:rsidR="0052084B" w:rsidRPr="000B405D" w:rsidRDefault="0052084B" w:rsidP="00E525FB">
      <w:pPr>
        <w:jc w:val="both"/>
      </w:pPr>
    </w:p>
    <w:p w14:paraId="1CCFE823" w14:textId="77777777" w:rsidR="006C0A6C" w:rsidRDefault="006C0A6C" w:rsidP="00E525FB">
      <w:pPr>
        <w:jc w:val="both"/>
      </w:pPr>
    </w:p>
    <w:p w14:paraId="17572998" w14:textId="77777777" w:rsidR="0052084B" w:rsidRDefault="0052084B" w:rsidP="00E525FB">
      <w:pPr>
        <w:jc w:val="both"/>
      </w:pPr>
    </w:p>
    <w:p w14:paraId="05E37B32" w14:textId="6B1C0A09" w:rsidR="0052084B" w:rsidRDefault="0052084B" w:rsidP="00EE71F0">
      <w:pPr>
        <w:jc w:val="center"/>
      </w:pPr>
      <w:r>
        <w:rPr>
          <w:noProof/>
          <w:lang w:val="es-MX"/>
        </w:rPr>
        <w:lastRenderedPageBreak/>
        <w:drawing>
          <wp:inline distT="0" distB="0" distL="0" distR="0" wp14:anchorId="2DB9D975" wp14:editId="4DD81D6B">
            <wp:extent cx="3600450" cy="52101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00450" cy="5210175"/>
                    </a:xfrm>
                    <a:prstGeom prst="rect">
                      <a:avLst/>
                    </a:prstGeom>
                  </pic:spPr>
                </pic:pic>
              </a:graphicData>
            </a:graphic>
          </wp:inline>
        </w:drawing>
      </w:r>
    </w:p>
    <w:p w14:paraId="76ED6962" w14:textId="4D31FF99" w:rsidR="0052084B" w:rsidRDefault="0052084B" w:rsidP="00EE71F0">
      <w:pPr>
        <w:jc w:val="center"/>
      </w:pPr>
      <w:r>
        <w:rPr>
          <w:noProof/>
          <w:lang w:val="es-MX"/>
        </w:rPr>
        <w:lastRenderedPageBreak/>
        <w:drawing>
          <wp:inline distT="0" distB="0" distL="0" distR="0" wp14:anchorId="12277FB4" wp14:editId="105ADE2E">
            <wp:extent cx="3638550" cy="5029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38550" cy="5029200"/>
                    </a:xfrm>
                    <a:prstGeom prst="rect">
                      <a:avLst/>
                    </a:prstGeom>
                  </pic:spPr>
                </pic:pic>
              </a:graphicData>
            </a:graphic>
          </wp:inline>
        </w:drawing>
      </w:r>
    </w:p>
    <w:p w14:paraId="16F03D4B" w14:textId="77777777" w:rsidR="00ED70E3" w:rsidRDefault="00ED70E3" w:rsidP="00E525FB">
      <w:pPr>
        <w:jc w:val="both"/>
      </w:pPr>
    </w:p>
    <w:p w14:paraId="196C1A06" w14:textId="77777777" w:rsidR="00ED70E3" w:rsidRDefault="00ED70E3" w:rsidP="00E525FB">
      <w:pPr>
        <w:jc w:val="both"/>
      </w:pPr>
    </w:p>
    <w:p w14:paraId="632F1F5C" w14:textId="5A7FA0F6" w:rsidR="00ED70E3" w:rsidRDefault="00ED70E3" w:rsidP="00EE71F0">
      <w:pPr>
        <w:jc w:val="center"/>
      </w:pPr>
      <w:r>
        <w:rPr>
          <w:noProof/>
          <w:lang w:val="es-MX"/>
        </w:rPr>
        <w:lastRenderedPageBreak/>
        <w:drawing>
          <wp:inline distT="0" distB="0" distL="0" distR="0" wp14:anchorId="6D4EEDFB" wp14:editId="080CB69D">
            <wp:extent cx="3667125" cy="53054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667125" cy="5305425"/>
                    </a:xfrm>
                    <a:prstGeom prst="rect">
                      <a:avLst/>
                    </a:prstGeom>
                  </pic:spPr>
                </pic:pic>
              </a:graphicData>
            </a:graphic>
          </wp:inline>
        </w:drawing>
      </w:r>
    </w:p>
    <w:p w14:paraId="6AC66565" w14:textId="77777777" w:rsidR="00ED70E3" w:rsidRDefault="00ED70E3" w:rsidP="00E525FB">
      <w:pPr>
        <w:jc w:val="both"/>
      </w:pPr>
    </w:p>
    <w:p w14:paraId="582CD504" w14:textId="0D5A91D1" w:rsidR="00ED70E3" w:rsidRPr="000B405D" w:rsidRDefault="00ED70E3" w:rsidP="00EE71F0">
      <w:pPr>
        <w:jc w:val="center"/>
      </w:pPr>
      <w:r>
        <w:rPr>
          <w:noProof/>
          <w:lang w:val="es-MX"/>
        </w:rPr>
        <w:lastRenderedPageBreak/>
        <w:drawing>
          <wp:inline distT="0" distB="0" distL="0" distR="0" wp14:anchorId="6698BC37" wp14:editId="0C797A27">
            <wp:extent cx="3543300" cy="39814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543300" cy="3981450"/>
                    </a:xfrm>
                    <a:prstGeom prst="rect">
                      <a:avLst/>
                    </a:prstGeom>
                  </pic:spPr>
                </pic:pic>
              </a:graphicData>
            </a:graphic>
          </wp:inline>
        </w:drawing>
      </w:r>
    </w:p>
    <w:p w14:paraId="6F093AF0" w14:textId="77777777" w:rsidR="00A343C2" w:rsidRDefault="00A343C2" w:rsidP="00F71DFA">
      <w:pPr>
        <w:pStyle w:val="Default"/>
        <w:jc w:val="both"/>
        <w:rPr>
          <w:b/>
          <w:bCs/>
          <w:color w:val="auto"/>
        </w:rPr>
      </w:pPr>
      <w:r w:rsidRPr="009831C1">
        <w:rPr>
          <w:b/>
          <w:bCs/>
          <w:color w:val="auto"/>
        </w:rPr>
        <w:t xml:space="preserve">Vacaciones </w:t>
      </w:r>
    </w:p>
    <w:p w14:paraId="70F1FCD4" w14:textId="77777777" w:rsidR="00AC1D79" w:rsidRPr="009831C1" w:rsidRDefault="00AC1D79" w:rsidP="00F71DFA">
      <w:pPr>
        <w:pStyle w:val="Default"/>
        <w:jc w:val="both"/>
        <w:rPr>
          <w:color w:val="auto"/>
        </w:rPr>
      </w:pPr>
    </w:p>
    <w:p w14:paraId="5026FA2E" w14:textId="77777777" w:rsidR="00A343C2" w:rsidRPr="009831C1" w:rsidRDefault="00A343C2" w:rsidP="00F71DFA">
      <w:pPr>
        <w:pStyle w:val="Default"/>
        <w:jc w:val="both"/>
        <w:rPr>
          <w:color w:val="auto"/>
        </w:rPr>
      </w:pPr>
      <w:r w:rsidRPr="009831C1">
        <w:rPr>
          <w:color w:val="auto"/>
        </w:rPr>
        <w:t xml:space="preserve">Según lo establecido en las Directivas Presidenciales números 06 de 2014: “Como general, las vacaciones no deben ser acumuladas ni interrumpidas sin motivo legal realmente justificado y no podrán ser compensadas en dinero, salvo retiro del funcionario. El funcionario encargado de otorgar las vacaciones debe reconocerlas de oficio si no le son solicitadas dentro de un término prudencial una vez que se causen” y lo dispuesto en el literal b) del numeral 1.7 de la Directiva Presidencial No. 09 del 09 de noviembre de 2018, que establece “Por regla general, las vacaciones no deben ser acumuladas ni interrumpidas. Solo por necesidades del servicio o retiro podrán ser compensadas en dinero” (Negrillas y subrayas fuera del texto original). Igualmente, la Circular Interna Nº 004 de 2014 emitida por Función Pública, dispuso las mismas medidas de las anteriores disposiciones. </w:t>
      </w:r>
    </w:p>
    <w:p w14:paraId="02588D42" w14:textId="77777777" w:rsidR="00A343C2" w:rsidRDefault="00A343C2" w:rsidP="00F71DFA">
      <w:pPr>
        <w:jc w:val="both"/>
      </w:pPr>
      <w:r w:rsidRPr="009831C1">
        <w:t xml:space="preserve">De acuerdo con lo anterior y teniendo en cuenta lo reportado por la líder de Talento Humano, </w:t>
      </w:r>
      <w:r w:rsidR="00600BF2" w:rsidRPr="009831C1">
        <w:t xml:space="preserve">No hay personal que </w:t>
      </w:r>
      <w:r w:rsidRPr="009831C1">
        <w:t>present</w:t>
      </w:r>
      <w:r w:rsidR="00600BF2" w:rsidRPr="009831C1">
        <w:t>e</w:t>
      </w:r>
      <w:r w:rsidRPr="009831C1">
        <w:t xml:space="preserve"> dos (2) o más periodos de vacaciones pendientes por disfrutar</w:t>
      </w:r>
      <w:r w:rsidR="00600BF2" w:rsidRPr="009831C1">
        <w:t>.</w:t>
      </w:r>
    </w:p>
    <w:p w14:paraId="4CA89029" w14:textId="77777777" w:rsidR="00A65AD8" w:rsidRDefault="00A65AD8" w:rsidP="00F71DFA">
      <w:pPr>
        <w:jc w:val="both"/>
      </w:pPr>
    </w:p>
    <w:p w14:paraId="27E3BFBC" w14:textId="77777777" w:rsidR="00B8494C" w:rsidRDefault="00B8494C" w:rsidP="00F71DFA">
      <w:pPr>
        <w:jc w:val="both"/>
      </w:pPr>
    </w:p>
    <w:p w14:paraId="673F5A39" w14:textId="77777777" w:rsidR="00B8494C" w:rsidRDefault="00B8494C" w:rsidP="00F71DFA">
      <w:pPr>
        <w:jc w:val="both"/>
      </w:pPr>
    </w:p>
    <w:p w14:paraId="04752F20" w14:textId="77777777" w:rsidR="00B8494C" w:rsidRDefault="00B8494C" w:rsidP="00F71DFA">
      <w:pPr>
        <w:jc w:val="both"/>
      </w:pPr>
    </w:p>
    <w:p w14:paraId="1E9DA01D" w14:textId="77777777" w:rsidR="00B8494C" w:rsidRDefault="00B8494C" w:rsidP="00F71DFA">
      <w:pPr>
        <w:jc w:val="both"/>
      </w:pPr>
    </w:p>
    <w:p w14:paraId="79AF45D0" w14:textId="3255AE4C" w:rsidR="00A65AD8" w:rsidRDefault="00A65AD8" w:rsidP="00F71DFA">
      <w:pPr>
        <w:jc w:val="both"/>
        <w:rPr>
          <w:b/>
        </w:rPr>
      </w:pPr>
      <w:r w:rsidRPr="00A65AD8">
        <w:rPr>
          <w:b/>
        </w:rPr>
        <w:t>Gastos Generales</w:t>
      </w:r>
    </w:p>
    <w:p w14:paraId="3EA70125" w14:textId="77777777" w:rsidR="00B8494C" w:rsidRPr="00A65AD8" w:rsidRDefault="00B8494C" w:rsidP="00F71DFA">
      <w:pPr>
        <w:jc w:val="both"/>
        <w:rPr>
          <w:b/>
        </w:rPr>
      </w:pPr>
    </w:p>
    <w:p w14:paraId="5416435C" w14:textId="1F960E4F" w:rsidR="00A65AD8" w:rsidRPr="00686AF3" w:rsidRDefault="00A65AD8" w:rsidP="00F71DFA">
      <w:pPr>
        <w:jc w:val="both"/>
        <w:rPr>
          <w:color w:val="FF0000"/>
        </w:rPr>
      </w:pPr>
      <w:r w:rsidRPr="005E7016">
        <w:t>El concepto de Impuestos y multas</w:t>
      </w:r>
      <w:r w:rsidR="005E7016" w:rsidRPr="005E7016">
        <w:t>, se debió al pago de impuesto predial por todo el año de las sedes CASA, URGENCIAS y del puesto de salud del corregimiento de OVEJAS</w:t>
      </w:r>
      <w:r w:rsidR="005E7016">
        <w:t xml:space="preserve">, en el que se ahorró un valor en el gasto correspondiente a </w:t>
      </w:r>
      <w:r w:rsidR="005E7016" w:rsidRPr="00686AF3">
        <w:rPr>
          <w:color w:val="FF0000"/>
        </w:rPr>
        <w:t>$</w:t>
      </w:r>
      <w:r w:rsidR="00686AF3" w:rsidRPr="00686AF3">
        <w:rPr>
          <w:color w:val="FF0000"/>
        </w:rPr>
        <w:t>.</w:t>
      </w:r>
    </w:p>
    <w:p w14:paraId="443AD1F9" w14:textId="2C9B7198" w:rsidR="00686AF3" w:rsidRPr="005E7016" w:rsidRDefault="00686AF3" w:rsidP="00F71DFA">
      <w:pPr>
        <w:jc w:val="both"/>
      </w:pPr>
      <w:r>
        <w:t>Se evidencia reducción en los gastos generales del primer trimestre del 2020, en razón de la decisión del Gerente saliente de esperar a que la nueva administración, tomara decisiones respecto de contratación y de adquisición de bienes y servicios para la ESE Hospital Santa Isabel.</w:t>
      </w:r>
    </w:p>
    <w:p w14:paraId="66D53FB9" w14:textId="05C9AA6E" w:rsidR="00A65AD8" w:rsidRDefault="00954C74" w:rsidP="00F71DFA">
      <w:pPr>
        <w:jc w:val="both"/>
        <w:rPr>
          <w:color w:val="FF0000"/>
        </w:rPr>
      </w:pPr>
      <w:r>
        <w:t xml:space="preserve">Además, se </w:t>
      </w:r>
      <w:r w:rsidR="00A65AD8">
        <w:t xml:space="preserve">evidencia la variación en la adquisición de bienes, toda vez que en el mismo periodo del año 2019, se debió adquirir nuevo </w:t>
      </w:r>
      <w:r w:rsidR="00AA0F70">
        <w:t xml:space="preserve">equipo médico, </w:t>
      </w:r>
      <w:r w:rsidR="00AA0F70" w:rsidRPr="005D4BCA">
        <w:t>un e</w:t>
      </w:r>
      <w:r w:rsidRPr="005D4BCA">
        <w:t>cógrafo</w:t>
      </w:r>
      <w:r w:rsidR="005D4BCA">
        <w:t>.</w:t>
      </w:r>
    </w:p>
    <w:p w14:paraId="75D1AC6A" w14:textId="77777777" w:rsidR="0052084B" w:rsidRDefault="0052084B" w:rsidP="00F71DFA">
      <w:pPr>
        <w:jc w:val="both"/>
        <w:rPr>
          <w:color w:val="FF0000"/>
        </w:rPr>
      </w:pPr>
    </w:p>
    <w:p w14:paraId="607B49C7" w14:textId="5D3A0D5C" w:rsidR="002220F4" w:rsidRDefault="00FC292D" w:rsidP="00F71DFA">
      <w:pPr>
        <w:jc w:val="both"/>
        <w:rPr>
          <w:b/>
        </w:rPr>
      </w:pPr>
      <w:r w:rsidRPr="00FC292D">
        <w:rPr>
          <w:b/>
        </w:rPr>
        <w:t>Transferencias Corrientes</w:t>
      </w:r>
      <w:r w:rsidR="002220F4" w:rsidRPr="00FC292D">
        <w:rPr>
          <w:b/>
        </w:rPr>
        <w:t xml:space="preserve"> </w:t>
      </w:r>
    </w:p>
    <w:p w14:paraId="1591FC07" w14:textId="77777777" w:rsidR="00B8494C" w:rsidRPr="00FC292D" w:rsidRDefault="00B8494C" w:rsidP="00F71DFA">
      <w:pPr>
        <w:jc w:val="both"/>
        <w:rPr>
          <w:b/>
        </w:rPr>
      </w:pPr>
    </w:p>
    <w:p w14:paraId="730C509B" w14:textId="67A0EDF1" w:rsidR="00AB5BBF" w:rsidRDefault="00FC292D" w:rsidP="00F71DFA">
      <w:pPr>
        <w:jc w:val="both"/>
      </w:pPr>
      <w:r>
        <w:t xml:space="preserve">La variación reflejada en el año 2020, </w:t>
      </w:r>
      <w:r w:rsidRPr="00730D39">
        <w:t>se explica en razón del pago de Cesantías e Intereses a las Cesantías en la li</w:t>
      </w:r>
      <w:r w:rsidR="004263A6" w:rsidRPr="00730D39">
        <w:t>quidación de los contratos y el pago de intereses a las cesantías de la vigencia 2019</w:t>
      </w:r>
      <w:r w:rsidR="00AB5BBF" w:rsidRPr="00730D39">
        <w:t xml:space="preserve"> por valor de </w:t>
      </w:r>
      <w:r w:rsidR="004147A8">
        <w:t>$16.650.576.</w:t>
      </w:r>
    </w:p>
    <w:p w14:paraId="5B48C974" w14:textId="77777777" w:rsidR="004F4D86" w:rsidRDefault="004F4D86" w:rsidP="00F71DFA">
      <w:pPr>
        <w:jc w:val="both"/>
        <w:rPr>
          <w:color w:val="FF0000"/>
        </w:rPr>
      </w:pPr>
    </w:p>
    <w:p w14:paraId="0E52792F" w14:textId="53044B30" w:rsidR="00D63BD5" w:rsidRDefault="00AA56FD" w:rsidP="00F71DFA">
      <w:pPr>
        <w:jc w:val="both"/>
      </w:pPr>
      <w:r>
        <w:t xml:space="preserve">Del anterior análisis se concluye que, es necesario que se planifique y se realice una mayor racionalidad del gasto, toda vez que la situación actual del Covid-19 </w:t>
      </w:r>
      <w:r w:rsidR="00D63BD5">
        <w:t xml:space="preserve">ha generado incertidumbre y preocupación en las posibles consecuencias que a corto y mediano plazo se puedan </w:t>
      </w:r>
      <w:r w:rsidR="008A7582">
        <w:t xml:space="preserve">presentar en la ESE Hospital Santa Isabel teniendo en cuenta la drástica disminución de ingresos que se espera se derive de la disminución y limitación en la prestación de los servicios médicos y odontológicos en general, por el confinamiento ordenado por el gobierno nacional y las medidas de distanciamiento y protocolos de atención médica que deben seguirse además de la incapacidad de atender una </w:t>
      </w:r>
      <w:r w:rsidR="00FB19A7">
        <w:t>desbordada situación en caso de presentarse un contagio acelerado en la población del municipio.</w:t>
      </w:r>
    </w:p>
    <w:p w14:paraId="4A9A82BF" w14:textId="4EE84179" w:rsidR="00D63BD5" w:rsidRDefault="00224CEB" w:rsidP="00F71DFA">
      <w:pPr>
        <w:jc w:val="both"/>
      </w:pPr>
      <w:r>
        <w:t xml:space="preserve">La implementación de una </w:t>
      </w:r>
      <w:proofErr w:type="gramStart"/>
      <w:r>
        <w:t>continua</w:t>
      </w:r>
      <w:proofErr w:type="gramEnd"/>
      <w:r>
        <w:t xml:space="preserve"> evaluación y seguimiento a la ejecución del gasto y el control y prevención del contagio del Covid-19, que se realicen conjuntamente con la alcaldía y la población en general, pueden mitigar un poco el impacto social y económico derivado de la pandemia mundial en nuestra institución.</w:t>
      </w:r>
    </w:p>
    <w:p w14:paraId="3D18D62C" w14:textId="77777777" w:rsidR="00802A6C" w:rsidRPr="00802A6C" w:rsidRDefault="00802A6C" w:rsidP="00F71DFA">
      <w:pPr>
        <w:jc w:val="both"/>
        <w:rPr>
          <w:b/>
        </w:rPr>
      </w:pPr>
    </w:p>
    <w:p w14:paraId="38A19F11" w14:textId="3DCC8FC4" w:rsidR="009D7455" w:rsidRDefault="00802A6C" w:rsidP="009D7455">
      <w:pPr>
        <w:jc w:val="center"/>
      </w:pPr>
      <w:r w:rsidRPr="00802A6C">
        <w:rPr>
          <w:b/>
        </w:rPr>
        <w:t>CONCLUSIONES Y RECOMENDACIONES</w:t>
      </w:r>
    </w:p>
    <w:p w14:paraId="239C49EB" w14:textId="77777777" w:rsidR="009D7455" w:rsidRDefault="009D7455" w:rsidP="00F71DFA">
      <w:pPr>
        <w:jc w:val="both"/>
      </w:pPr>
    </w:p>
    <w:p w14:paraId="6BB43269" w14:textId="629C93DE" w:rsidR="009D7455" w:rsidRDefault="009D7455" w:rsidP="00AF71D5">
      <w:pPr>
        <w:jc w:val="both"/>
      </w:pPr>
      <w:r>
        <w:t xml:space="preserve">Aunque el incremento de precios explique mayormente el incremento del valor del gasto en los gastos generales realizados por la ESE Hospital Santa Isabel, es importante resaltar como una de las estrategias en la disminución del valor del concepto del gasto, la disminución del consumo, objetivo que puede lograrse </w:t>
      </w:r>
      <w:r w:rsidR="000E18FA">
        <w:t xml:space="preserve">entre otros, </w:t>
      </w:r>
      <w:r w:rsidR="00AF71D5">
        <w:t>con los pequeños aportes que cada funcionario realiza al apagar un interruptor para ahorrar energía cuando no sea necesario que una luz permanezca encendida, el ahorro de papel con una política de minimiza</w:t>
      </w:r>
      <w:r w:rsidR="000E18FA">
        <w:t>ción de impresiones.</w:t>
      </w:r>
      <w:r w:rsidR="00187A1F">
        <w:t xml:space="preserve"> </w:t>
      </w:r>
    </w:p>
    <w:p w14:paraId="4D009AB9" w14:textId="77777777" w:rsidR="003D348E" w:rsidRDefault="003D348E" w:rsidP="00AF71D5">
      <w:pPr>
        <w:jc w:val="both"/>
      </w:pPr>
    </w:p>
    <w:p w14:paraId="6863C705" w14:textId="6E263318" w:rsidR="00466EAA" w:rsidRDefault="00F63067" w:rsidP="00AF71D5">
      <w:pPr>
        <w:jc w:val="both"/>
      </w:pPr>
      <w:bookmarkStart w:id="0" w:name="_GoBack"/>
      <w:bookmarkEnd w:id="0"/>
      <w:r>
        <w:t xml:space="preserve">Ante la </w:t>
      </w:r>
      <w:r w:rsidR="00466EAA">
        <w:t>p</w:t>
      </w:r>
      <w:r>
        <w:t xml:space="preserve">osibilidad de </w:t>
      </w:r>
      <w:r w:rsidR="00D559DB">
        <w:t xml:space="preserve">tener que </w:t>
      </w:r>
      <w:r w:rsidR="00466EAA">
        <w:t>realizar desembolsos</w:t>
      </w:r>
      <w:r w:rsidR="00D559DB">
        <w:t xml:space="preserve"> significativos </w:t>
      </w:r>
      <w:r>
        <w:t xml:space="preserve">por los valores que eventualmente deba asumir </w:t>
      </w:r>
      <w:r w:rsidR="003B5FAE">
        <w:t xml:space="preserve">la institución </w:t>
      </w:r>
      <w:r>
        <w:t>en razón de las indemnizaciones</w:t>
      </w:r>
      <w:r w:rsidR="003B5FAE">
        <w:t xml:space="preserve"> demandadas por responsabilidades endilgadas a la ESE Hospital Santa Isabel, y al no conocerse un </w:t>
      </w:r>
      <w:r w:rsidR="00466EAA">
        <w:t>valor concreto, considero prudente que sobre el cálculo de un valor estimado realizado con base en el informe de acta de entrega del Gerente saliente, Doctor Oscar Hernán</w:t>
      </w:r>
      <w:r w:rsidR="00A5160A">
        <w:t xml:space="preserve"> Ocampo,</w:t>
      </w:r>
      <w:r w:rsidR="00466EAA">
        <w:t xml:space="preserve"> se analice por parte de la dirección de la entidad, la posibilidad de realizar una provisión para esos posibles eventos indemnizatorios a cargo de la ESE.</w:t>
      </w:r>
    </w:p>
    <w:p w14:paraId="0E5963D5" w14:textId="77777777" w:rsidR="00466EAA" w:rsidRDefault="00466EAA" w:rsidP="00AF71D5">
      <w:pPr>
        <w:jc w:val="both"/>
      </w:pPr>
    </w:p>
    <w:p w14:paraId="1657AE36" w14:textId="77777777" w:rsidR="00466EAA" w:rsidRDefault="00466EAA" w:rsidP="00AF71D5">
      <w:pPr>
        <w:jc w:val="both"/>
      </w:pPr>
    </w:p>
    <w:p w14:paraId="0AB5FB83" w14:textId="77777777" w:rsidR="00187A1F" w:rsidRDefault="00187A1F" w:rsidP="00AF71D5">
      <w:pPr>
        <w:jc w:val="both"/>
      </w:pPr>
    </w:p>
    <w:p w14:paraId="027E9860" w14:textId="77777777" w:rsidR="00187A1F" w:rsidRDefault="00187A1F" w:rsidP="00AF71D5">
      <w:pPr>
        <w:jc w:val="both"/>
      </w:pPr>
    </w:p>
    <w:p w14:paraId="3B95C048" w14:textId="0B2F8C3F" w:rsidR="00187A1F" w:rsidRDefault="00187A1F" w:rsidP="00AF71D5">
      <w:pPr>
        <w:jc w:val="both"/>
      </w:pPr>
      <w:r>
        <w:t>Cordialmente,</w:t>
      </w:r>
    </w:p>
    <w:p w14:paraId="6CB73F34" w14:textId="77777777" w:rsidR="003D348E" w:rsidRDefault="003D348E" w:rsidP="00AF71D5">
      <w:pPr>
        <w:jc w:val="both"/>
      </w:pPr>
    </w:p>
    <w:p w14:paraId="7AFE5C80" w14:textId="77777777" w:rsidR="00187A1F" w:rsidRDefault="00187A1F" w:rsidP="00AF71D5">
      <w:pPr>
        <w:jc w:val="both"/>
      </w:pPr>
    </w:p>
    <w:p w14:paraId="10A7D30C" w14:textId="008B9B72" w:rsidR="00187A1F" w:rsidRDefault="00187A1F" w:rsidP="00AF71D5">
      <w:pPr>
        <w:jc w:val="both"/>
      </w:pPr>
      <w:r>
        <w:t>María Elena Londoño Medina</w:t>
      </w:r>
    </w:p>
    <w:p w14:paraId="014649D8" w14:textId="02ED97D3" w:rsidR="00187A1F" w:rsidRDefault="00187A1F" w:rsidP="00AF71D5">
      <w:pPr>
        <w:jc w:val="both"/>
      </w:pPr>
      <w:r>
        <w:t xml:space="preserve">Asesora Control Interno </w:t>
      </w:r>
    </w:p>
    <w:p w14:paraId="06D70BD5" w14:textId="6FE62FA5" w:rsidR="00187A1F" w:rsidRDefault="00187A1F" w:rsidP="00AF71D5">
      <w:pPr>
        <w:jc w:val="both"/>
      </w:pPr>
      <w:r>
        <w:t>ESE Hospital Santa Isabel</w:t>
      </w:r>
    </w:p>
    <w:p w14:paraId="3AB34FC6" w14:textId="77777777" w:rsidR="00AF71D5" w:rsidRDefault="00AF71D5" w:rsidP="00AF71D5">
      <w:pPr>
        <w:jc w:val="both"/>
      </w:pPr>
    </w:p>
    <w:p w14:paraId="1B65694B" w14:textId="77777777" w:rsidR="009D7455" w:rsidRDefault="009D7455" w:rsidP="00F71DFA">
      <w:pPr>
        <w:jc w:val="both"/>
      </w:pPr>
    </w:p>
    <w:p w14:paraId="1C853100" w14:textId="77777777" w:rsidR="009D7455" w:rsidRDefault="009D7455" w:rsidP="00F71DFA">
      <w:pPr>
        <w:jc w:val="both"/>
      </w:pPr>
    </w:p>
    <w:p w14:paraId="3CB57CCE" w14:textId="77777777" w:rsidR="009D7455" w:rsidRDefault="009D7455" w:rsidP="00F71DFA">
      <w:pPr>
        <w:jc w:val="both"/>
      </w:pPr>
    </w:p>
    <w:sectPr w:rsidR="009D7455" w:rsidSect="004F7A13">
      <w:headerReference w:type="default" r:id="rId15"/>
      <w:pgSz w:w="12240" w:h="15840" w:code="1"/>
      <w:pgMar w:top="1701" w:right="1134" w:bottom="1701" w:left="1701" w:header="851" w:footer="85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62A5F1" w15:done="0"/>
  <w15:commentEx w15:paraId="3769C8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D85D3" w14:textId="77777777" w:rsidR="00D574F3" w:rsidRDefault="00D574F3">
      <w:r>
        <w:separator/>
      </w:r>
    </w:p>
  </w:endnote>
  <w:endnote w:type="continuationSeparator" w:id="0">
    <w:p w14:paraId="5EC06487" w14:textId="77777777" w:rsidR="00D574F3" w:rsidRDefault="00D5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2E0FC" w14:textId="77777777" w:rsidR="00D574F3" w:rsidRDefault="00D574F3">
      <w:r>
        <w:separator/>
      </w:r>
    </w:p>
  </w:footnote>
  <w:footnote w:type="continuationSeparator" w:id="0">
    <w:p w14:paraId="46656E92" w14:textId="77777777" w:rsidR="00D574F3" w:rsidRDefault="00D57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Y="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212"/>
      <w:gridCol w:w="3033"/>
    </w:tblGrid>
    <w:tr w:rsidR="00BD103C" w:rsidRPr="00457173" w14:paraId="4F940F97" w14:textId="77777777" w:rsidTr="00BF442E">
      <w:trPr>
        <w:trHeight w:val="428"/>
      </w:trPr>
      <w:tc>
        <w:tcPr>
          <w:tcW w:w="1235" w:type="pct"/>
          <w:vMerge w:val="restart"/>
          <w:vAlign w:val="center"/>
        </w:tcPr>
        <w:p w14:paraId="527DFA94" w14:textId="77777777" w:rsidR="00BD103C" w:rsidRPr="00457173" w:rsidRDefault="00BD103C" w:rsidP="00BF442E">
          <w:pPr>
            <w:shd w:val="clear" w:color="auto" w:fill="FFFFFF"/>
            <w:jc w:val="center"/>
            <w:rPr>
              <w:rFonts w:cs="Arial"/>
              <w:b/>
              <w:sz w:val="22"/>
              <w:szCs w:val="22"/>
            </w:rPr>
          </w:pPr>
          <w:r>
            <w:rPr>
              <w:rFonts w:cs="Arial"/>
              <w:b/>
              <w:noProof/>
              <w:sz w:val="22"/>
              <w:szCs w:val="22"/>
              <w:lang w:val="es-MX"/>
            </w:rPr>
            <w:drawing>
              <wp:inline distT="0" distB="0" distL="0" distR="0" wp14:anchorId="499612C5" wp14:editId="1D5AE882">
                <wp:extent cx="855980" cy="716915"/>
                <wp:effectExtent l="19050" t="0" r="1270" b="0"/>
                <wp:docPr id="3" name="Imagen 3" descr="Logo Santa Isabel 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ta Isabel pequeño"/>
                        <pic:cNvPicPr>
                          <a:picLocks noChangeAspect="1" noChangeArrowheads="1"/>
                        </pic:cNvPicPr>
                      </pic:nvPicPr>
                      <pic:blipFill>
                        <a:blip r:embed="rId1"/>
                        <a:srcRect/>
                        <a:stretch>
                          <a:fillRect/>
                        </a:stretch>
                      </pic:blipFill>
                      <pic:spPr bwMode="auto">
                        <a:xfrm>
                          <a:off x="0" y="0"/>
                          <a:ext cx="855980" cy="716915"/>
                        </a:xfrm>
                        <a:prstGeom prst="rect">
                          <a:avLst/>
                        </a:prstGeom>
                        <a:noFill/>
                        <a:ln w="9525">
                          <a:noFill/>
                          <a:miter lim="800000"/>
                          <a:headEnd/>
                          <a:tailEnd/>
                        </a:ln>
                      </pic:spPr>
                    </pic:pic>
                  </a:graphicData>
                </a:graphic>
              </wp:inline>
            </w:drawing>
          </w:r>
        </w:p>
      </w:tc>
      <w:tc>
        <w:tcPr>
          <w:tcW w:w="2189" w:type="pct"/>
          <w:vMerge w:val="restart"/>
          <w:vAlign w:val="center"/>
        </w:tcPr>
        <w:p w14:paraId="4602DE06" w14:textId="77777777" w:rsidR="00BD103C" w:rsidRPr="00457173" w:rsidRDefault="00BD103C" w:rsidP="00BF442E">
          <w:pPr>
            <w:shd w:val="clear" w:color="auto" w:fill="FFFFFF"/>
            <w:jc w:val="center"/>
            <w:rPr>
              <w:rFonts w:cs="Arial"/>
              <w:b/>
              <w:sz w:val="22"/>
              <w:szCs w:val="22"/>
            </w:rPr>
          </w:pPr>
          <w:r w:rsidRPr="00457173">
            <w:rPr>
              <w:rFonts w:cs="Arial"/>
              <w:b/>
              <w:sz w:val="22"/>
              <w:szCs w:val="22"/>
            </w:rPr>
            <w:t>INFORME DE AUDITORIA</w:t>
          </w:r>
        </w:p>
        <w:p w14:paraId="770C7959" w14:textId="77777777" w:rsidR="00BD103C" w:rsidRPr="00457173" w:rsidRDefault="00BD103C" w:rsidP="000E2C7E">
          <w:pPr>
            <w:shd w:val="clear" w:color="auto" w:fill="FFFFFF"/>
            <w:jc w:val="center"/>
            <w:rPr>
              <w:rFonts w:cs="Arial"/>
              <w:b/>
              <w:sz w:val="22"/>
              <w:szCs w:val="22"/>
            </w:rPr>
          </w:pPr>
          <w:r w:rsidRPr="00457173">
            <w:rPr>
              <w:rFonts w:cs="Arial"/>
              <w:b/>
              <w:sz w:val="22"/>
              <w:szCs w:val="22"/>
            </w:rPr>
            <w:t xml:space="preserve">Nº </w:t>
          </w:r>
          <w:r w:rsidR="009F2A1B">
            <w:rPr>
              <w:rFonts w:cs="Arial"/>
              <w:b/>
              <w:sz w:val="22"/>
              <w:szCs w:val="22"/>
            </w:rPr>
            <w:t>0</w:t>
          </w:r>
          <w:r w:rsidR="000E2C7E">
            <w:rPr>
              <w:rFonts w:cs="Arial"/>
              <w:b/>
              <w:sz w:val="22"/>
              <w:szCs w:val="22"/>
            </w:rPr>
            <w:t>1</w:t>
          </w:r>
        </w:p>
      </w:tc>
      <w:tc>
        <w:tcPr>
          <w:tcW w:w="1576" w:type="pct"/>
          <w:vAlign w:val="center"/>
        </w:tcPr>
        <w:p w14:paraId="34983E20" w14:textId="77777777" w:rsidR="00BD103C" w:rsidRPr="00457173" w:rsidRDefault="00BD103C" w:rsidP="00BF442E">
          <w:pPr>
            <w:shd w:val="clear" w:color="auto" w:fill="FFFFFF"/>
            <w:rPr>
              <w:rFonts w:cs="Arial"/>
              <w:b/>
              <w:sz w:val="22"/>
              <w:szCs w:val="22"/>
            </w:rPr>
          </w:pPr>
          <w:r w:rsidRPr="00457173">
            <w:rPr>
              <w:rFonts w:cs="Arial"/>
              <w:b/>
              <w:sz w:val="22"/>
              <w:szCs w:val="22"/>
            </w:rPr>
            <w:t>Código :</w:t>
          </w:r>
          <w:r>
            <w:rPr>
              <w:rFonts w:cs="Arial"/>
              <w:b/>
              <w:sz w:val="22"/>
              <w:szCs w:val="22"/>
            </w:rPr>
            <w:t xml:space="preserve"> F-GC-004</w:t>
          </w:r>
        </w:p>
      </w:tc>
    </w:tr>
    <w:tr w:rsidR="00BD103C" w:rsidRPr="00457173" w14:paraId="66729674" w14:textId="77777777" w:rsidTr="00BF442E">
      <w:trPr>
        <w:trHeight w:val="428"/>
      </w:trPr>
      <w:tc>
        <w:tcPr>
          <w:tcW w:w="1235" w:type="pct"/>
          <w:vMerge/>
        </w:tcPr>
        <w:p w14:paraId="7E26F602" w14:textId="77777777" w:rsidR="00BD103C" w:rsidRPr="00457173" w:rsidRDefault="00BD103C" w:rsidP="00BF442E">
          <w:pPr>
            <w:shd w:val="clear" w:color="auto" w:fill="FFFFFF"/>
            <w:jc w:val="center"/>
            <w:rPr>
              <w:rFonts w:cs="Arial"/>
              <w:b/>
              <w:sz w:val="22"/>
              <w:szCs w:val="22"/>
            </w:rPr>
          </w:pPr>
        </w:p>
      </w:tc>
      <w:tc>
        <w:tcPr>
          <w:tcW w:w="2189" w:type="pct"/>
          <w:vMerge/>
        </w:tcPr>
        <w:p w14:paraId="37B8A8FB" w14:textId="77777777" w:rsidR="00BD103C" w:rsidRPr="00457173" w:rsidRDefault="00BD103C" w:rsidP="00BF442E">
          <w:pPr>
            <w:shd w:val="clear" w:color="auto" w:fill="FFFFFF"/>
            <w:jc w:val="center"/>
            <w:rPr>
              <w:rFonts w:cs="Arial"/>
              <w:b/>
              <w:sz w:val="22"/>
              <w:szCs w:val="22"/>
            </w:rPr>
          </w:pPr>
        </w:p>
      </w:tc>
      <w:tc>
        <w:tcPr>
          <w:tcW w:w="1576" w:type="pct"/>
          <w:vAlign w:val="center"/>
        </w:tcPr>
        <w:p w14:paraId="42378192" w14:textId="77777777" w:rsidR="00BD103C" w:rsidRPr="00457173" w:rsidRDefault="00FC32C2" w:rsidP="00BF442E">
          <w:pPr>
            <w:shd w:val="clear" w:color="auto" w:fill="FFFFFF"/>
            <w:rPr>
              <w:rFonts w:cs="Arial"/>
              <w:b/>
              <w:sz w:val="22"/>
              <w:szCs w:val="22"/>
            </w:rPr>
          </w:pPr>
          <w:r>
            <w:rPr>
              <w:rFonts w:cs="Arial"/>
              <w:b/>
              <w:sz w:val="22"/>
              <w:szCs w:val="22"/>
            </w:rPr>
            <w:t>Versión :02</w:t>
          </w:r>
        </w:p>
      </w:tc>
    </w:tr>
    <w:tr w:rsidR="00BD103C" w:rsidRPr="00457173" w14:paraId="65ADD860" w14:textId="77777777" w:rsidTr="00BF442E">
      <w:trPr>
        <w:trHeight w:val="429"/>
      </w:trPr>
      <w:tc>
        <w:tcPr>
          <w:tcW w:w="1235" w:type="pct"/>
          <w:vMerge/>
        </w:tcPr>
        <w:p w14:paraId="5502C6DE" w14:textId="77777777" w:rsidR="00BD103C" w:rsidRPr="00457173" w:rsidRDefault="00BD103C" w:rsidP="00BF442E">
          <w:pPr>
            <w:shd w:val="clear" w:color="auto" w:fill="FFFFFF"/>
            <w:jc w:val="center"/>
            <w:rPr>
              <w:rFonts w:cs="Arial"/>
              <w:b/>
              <w:sz w:val="22"/>
              <w:szCs w:val="22"/>
            </w:rPr>
          </w:pPr>
        </w:p>
      </w:tc>
      <w:tc>
        <w:tcPr>
          <w:tcW w:w="2189" w:type="pct"/>
          <w:vMerge/>
        </w:tcPr>
        <w:p w14:paraId="66940D9C" w14:textId="77777777" w:rsidR="00BD103C" w:rsidRPr="00457173" w:rsidRDefault="00BD103C" w:rsidP="00BF442E">
          <w:pPr>
            <w:shd w:val="clear" w:color="auto" w:fill="FFFFFF"/>
            <w:jc w:val="center"/>
            <w:rPr>
              <w:rFonts w:cs="Arial"/>
              <w:b/>
              <w:sz w:val="22"/>
              <w:szCs w:val="22"/>
            </w:rPr>
          </w:pPr>
        </w:p>
      </w:tc>
      <w:tc>
        <w:tcPr>
          <w:tcW w:w="1576" w:type="pct"/>
          <w:vAlign w:val="center"/>
        </w:tcPr>
        <w:p w14:paraId="58DB0724" w14:textId="77777777" w:rsidR="00BD103C" w:rsidRPr="00457173" w:rsidRDefault="00BD103C" w:rsidP="00BF442E">
          <w:pPr>
            <w:rPr>
              <w:b/>
              <w:sz w:val="22"/>
              <w:szCs w:val="22"/>
            </w:rPr>
          </w:pPr>
          <w:r w:rsidRPr="00457173">
            <w:rPr>
              <w:b/>
              <w:sz w:val="22"/>
              <w:szCs w:val="22"/>
            </w:rPr>
            <w:t xml:space="preserve">Página </w:t>
          </w:r>
          <w:r w:rsidRPr="00457173">
            <w:rPr>
              <w:b/>
              <w:sz w:val="22"/>
              <w:szCs w:val="22"/>
            </w:rPr>
            <w:fldChar w:fldCharType="begin"/>
          </w:r>
          <w:r w:rsidRPr="00457173">
            <w:rPr>
              <w:b/>
              <w:sz w:val="22"/>
              <w:szCs w:val="22"/>
            </w:rPr>
            <w:instrText xml:space="preserve"> PAGE </w:instrText>
          </w:r>
          <w:r w:rsidRPr="00457173">
            <w:rPr>
              <w:b/>
              <w:sz w:val="22"/>
              <w:szCs w:val="22"/>
            </w:rPr>
            <w:fldChar w:fldCharType="separate"/>
          </w:r>
          <w:r w:rsidR="003D348E">
            <w:rPr>
              <w:b/>
              <w:noProof/>
              <w:sz w:val="22"/>
              <w:szCs w:val="22"/>
            </w:rPr>
            <w:t>12</w:t>
          </w:r>
          <w:r w:rsidRPr="00457173">
            <w:rPr>
              <w:b/>
              <w:sz w:val="22"/>
              <w:szCs w:val="22"/>
            </w:rPr>
            <w:fldChar w:fldCharType="end"/>
          </w:r>
          <w:r w:rsidRPr="00457173">
            <w:rPr>
              <w:b/>
              <w:sz w:val="22"/>
              <w:szCs w:val="22"/>
            </w:rPr>
            <w:t xml:space="preserve"> de </w:t>
          </w:r>
          <w:r w:rsidRPr="00457173">
            <w:rPr>
              <w:b/>
              <w:sz w:val="22"/>
              <w:szCs w:val="22"/>
            </w:rPr>
            <w:fldChar w:fldCharType="begin"/>
          </w:r>
          <w:r w:rsidRPr="00457173">
            <w:rPr>
              <w:b/>
              <w:sz w:val="22"/>
              <w:szCs w:val="22"/>
            </w:rPr>
            <w:instrText xml:space="preserve"> NUMPAGES  </w:instrText>
          </w:r>
          <w:r w:rsidRPr="00457173">
            <w:rPr>
              <w:b/>
              <w:sz w:val="22"/>
              <w:szCs w:val="22"/>
            </w:rPr>
            <w:fldChar w:fldCharType="separate"/>
          </w:r>
          <w:r w:rsidR="003D348E">
            <w:rPr>
              <w:b/>
              <w:noProof/>
              <w:sz w:val="22"/>
              <w:szCs w:val="22"/>
            </w:rPr>
            <w:t>14</w:t>
          </w:r>
          <w:r w:rsidRPr="00457173">
            <w:rPr>
              <w:b/>
              <w:sz w:val="22"/>
              <w:szCs w:val="22"/>
            </w:rPr>
            <w:fldChar w:fldCharType="end"/>
          </w:r>
        </w:p>
      </w:tc>
    </w:tr>
  </w:tbl>
  <w:p w14:paraId="5952D515" w14:textId="77777777" w:rsidR="00862670" w:rsidRDefault="008626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BC1"/>
    <w:multiLevelType w:val="hybridMultilevel"/>
    <w:tmpl w:val="C64000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5B732A"/>
    <w:multiLevelType w:val="hybridMultilevel"/>
    <w:tmpl w:val="B4ACCC4A"/>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nsid w:val="03E50CE3"/>
    <w:multiLevelType w:val="hybridMultilevel"/>
    <w:tmpl w:val="9E74516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C0F4EF9"/>
    <w:multiLevelType w:val="hybridMultilevel"/>
    <w:tmpl w:val="CEE6E702"/>
    <w:lvl w:ilvl="0" w:tplc="080A000F">
      <w:start w:val="1"/>
      <w:numFmt w:val="decimal"/>
      <w:lvlText w:val="%1."/>
      <w:lvlJc w:val="left"/>
      <w:pPr>
        <w:tabs>
          <w:tab w:val="num" w:pos="366"/>
        </w:tabs>
        <w:ind w:left="366" w:hanging="360"/>
      </w:pPr>
    </w:lvl>
    <w:lvl w:ilvl="1" w:tplc="080A0019" w:tentative="1">
      <w:start w:val="1"/>
      <w:numFmt w:val="lowerLetter"/>
      <w:lvlText w:val="%2."/>
      <w:lvlJc w:val="left"/>
      <w:pPr>
        <w:tabs>
          <w:tab w:val="num" w:pos="1446"/>
        </w:tabs>
        <w:ind w:left="1446" w:hanging="360"/>
      </w:pPr>
    </w:lvl>
    <w:lvl w:ilvl="2" w:tplc="080A001B" w:tentative="1">
      <w:start w:val="1"/>
      <w:numFmt w:val="lowerRoman"/>
      <w:lvlText w:val="%3."/>
      <w:lvlJc w:val="right"/>
      <w:pPr>
        <w:tabs>
          <w:tab w:val="num" w:pos="2166"/>
        </w:tabs>
        <w:ind w:left="2166" w:hanging="180"/>
      </w:pPr>
    </w:lvl>
    <w:lvl w:ilvl="3" w:tplc="080A000F" w:tentative="1">
      <w:start w:val="1"/>
      <w:numFmt w:val="decimal"/>
      <w:lvlText w:val="%4."/>
      <w:lvlJc w:val="left"/>
      <w:pPr>
        <w:tabs>
          <w:tab w:val="num" w:pos="2886"/>
        </w:tabs>
        <w:ind w:left="2886" w:hanging="360"/>
      </w:pPr>
    </w:lvl>
    <w:lvl w:ilvl="4" w:tplc="080A0019" w:tentative="1">
      <w:start w:val="1"/>
      <w:numFmt w:val="lowerLetter"/>
      <w:lvlText w:val="%5."/>
      <w:lvlJc w:val="left"/>
      <w:pPr>
        <w:tabs>
          <w:tab w:val="num" w:pos="3606"/>
        </w:tabs>
        <w:ind w:left="3606" w:hanging="360"/>
      </w:pPr>
    </w:lvl>
    <w:lvl w:ilvl="5" w:tplc="080A001B" w:tentative="1">
      <w:start w:val="1"/>
      <w:numFmt w:val="lowerRoman"/>
      <w:lvlText w:val="%6."/>
      <w:lvlJc w:val="right"/>
      <w:pPr>
        <w:tabs>
          <w:tab w:val="num" w:pos="4326"/>
        </w:tabs>
        <w:ind w:left="4326" w:hanging="180"/>
      </w:pPr>
    </w:lvl>
    <w:lvl w:ilvl="6" w:tplc="080A000F" w:tentative="1">
      <w:start w:val="1"/>
      <w:numFmt w:val="decimal"/>
      <w:lvlText w:val="%7."/>
      <w:lvlJc w:val="left"/>
      <w:pPr>
        <w:tabs>
          <w:tab w:val="num" w:pos="5046"/>
        </w:tabs>
        <w:ind w:left="5046" w:hanging="360"/>
      </w:pPr>
    </w:lvl>
    <w:lvl w:ilvl="7" w:tplc="080A0019" w:tentative="1">
      <w:start w:val="1"/>
      <w:numFmt w:val="lowerLetter"/>
      <w:lvlText w:val="%8."/>
      <w:lvlJc w:val="left"/>
      <w:pPr>
        <w:tabs>
          <w:tab w:val="num" w:pos="5766"/>
        </w:tabs>
        <w:ind w:left="5766" w:hanging="360"/>
      </w:pPr>
    </w:lvl>
    <w:lvl w:ilvl="8" w:tplc="080A001B" w:tentative="1">
      <w:start w:val="1"/>
      <w:numFmt w:val="lowerRoman"/>
      <w:lvlText w:val="%9."/>
      <w:lvlJc w:val="right"/>
      <w:pPr>
        <w:tabs>
          <w:tab w:val="num" w:pos="6486"/>
        </w:tabs>
        <w:ind w:left="6486" w:hanging="180"/>
      </w:pPr>
    </w:lvl>
  </w:abstractNum>
  <w:abstractNum w:abstractNumId="4">
    <w:nsid w:val="18A2405C"/>
    <w:multiLevelType w:val="hybridMultilevel"/>
    <w:tmpl w:val="A62429CE"/>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5">
    <w:nsid w:val="1CD71EFA"/>
    <w:multiLevelType w:val="hybridMultilevel"/>
    <w:tmpl w:val="163C5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DD354AB"/>
    <w:multiLevelType w:val="hybridMultilevel"/>
    <w:tmpl w:val="C9C2BBF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5F31081"/>
    <w:multiLevelType w:val="hybridMultilevel"/>
    <w:tmpl w:val="3BD4B9AC"/>
    <w:lvl w:ilvl="0" w:tplc="3D601C7C">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94503FC"/>
    <w:multiLevelType w:val="hybridMultilevel"/>
    <w:tmpl w:val="0FD4902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DB82A6D"/>
    <w:multiLevelType w:val="hybridMultilevel"/>
    <w:tmpl w:val="68C8375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3C768E5"/>
    <w:multiLevelType w:val="hybridMultilevel"/>
    <w:tmpl w:val="C02C0152"/>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nsid w:val="490A423B"/>
    <w:multiLevelType w:val="hybridMultilevel"/>
    <w:tmpl w:val="0A9AF8F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nsid w:val="49EC1439"/>
    <w:multiLevelType w:val="hybridMultilevel"/>
    <w:tmpl w:val="EDB83DA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A987775"/>
    <w:multiLevelType w:val="hybridMultilevel"/>
    <w:tmpl w:val="1D20B1DE"/>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14">
    <w:nsid w:val="4C8423BB"/>
    <w:multiLevelType w:val="hybridMultilevel"/>
    <w:tmpl w:val="A0D4638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519808BB"/>
    <w:multiLevelType w:val="hybridMultilevel"/>
    <w:tmpl w:val="42146A0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5840695C"/>
    <w:multiLevelType w:val="hybridMultilevel"/>
    <w:tmpl w:val="979E1F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91D6F77"/>
    <w:multiLevelType w:val="hybridMultilevel"/>
    <w:tmpl w:val="EAFC8D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E3740DA"/>
    <w:multiLevelType w:val="hybridMultilevel"/>
    <w:tmpl w:val="C74643BA"/>
    <w:lvl w:ilvl="0" w:tplc="0C0A000F">
      <w:start w:val="1"/>
      <w:numFmt w:val="decimal"/>
      <w:lvlText w:val="%1."/>
      <w:lvlJc w:val="left"/>
      <w:pPr>
        <w:ind w:left="726" w:hanging="360"/>
      </w:pPr>
    </w:lvl>
    <w:lvl w:ilvl="1" w:tplc="0C0A0019" w:tentative="1">
      <w:start w:val="1"/>
      <w:numFmt w:val="lowerLetter"/>
      <w:lvlText w:val="%2."/>
      <w:lvlJc w:val="left"/>
      <w:pPr>
        <w:ind w:left="1446" w:hanging="360"/>
      </w:pPr>
    </w:lvl>
    <w:lvl w:ilvl="2" w:tplc="0C0A001B" w:tentative="1">
      <w:start w:val="1"/>
      <w:numFmt w:val="lowerRoman"/>
      <w:lvlText w:val="%3."/>
      <w:lvlJc w:val="right"/>
      <w:pPr>
        <w:ind w:left="2166" w:hanging="180"/>
      </w:pPr>
    </w:lvl>
    <w:lvl w:ilvl="3" w:tplc="0C0A000F" w:tentative="1">
      <w:start w:val="1"/>
      <w:numFmt w:val="decimal"/>
      <w:lvlText w:val="%4."/>
      <w:lvlJc w:val="left"/>
      <w:pPr>
        <w:ind w:left="2886" w:hanging="360"/>
      </w:pPr>
    </w:lvl>
    <w:lvl w:ilvl="4" w:tplc="0C0A0019" w:tentative="1">
      <w:start w:val="1"/>
      <w:numFmt w:val="lowerLetter"/>
      <w:lvlText w:val="%5."/>
      <w:lvlJc w:val="left"/>
      <w:pPr>
        <w:ind w:left="3606" w:hanging="360"/>
      </w:pPr>
    </w:lvl>
    <w:lvl w:ilvl="5" w:tplc="0C0A001B" w:tentative="1">
      <w:start w:val="1"/>
      <w:numFmt w:val="lowerRoman"/>
      <w:lvlText w:val="%6."/>
      <w:lvlJc w:val="right"/>
      <w:pPr>
        <w:ind w:left="4326" w:hanging="180"/>
      </w:pPr>
    </w:lvl>
    <w:lvl w:ilvl="6" w:tplc="0C0A000F" w:tentative="1">
      <w:start w:val="1"/>
      <w:numFmt w:val="decimal"/>
      <w:lvlText w:val="%7."/>
      <w:lvlJc w:val="left"/>
      <w:pPr>
        <w:ind w:left="5046" w:hanging="360"/>
      </w:pPr>
    </w:lvl>
    <w:lvl w:ilvl="7" w:tplc="0C0A0019" w:tentative="1">
      <w:start w:val="1"/>
      <w:numFmt w:val="lowerLetter"/>
      <w:lvlText w:val="%8."/>
      <w:lvlJc w:val="left"/>
      <w:pPr>
        <w:ind w:left="5766" w:hanging="360"/>
      </w:pPr>
    </w:lvl>
    <w:lvl w:ilvl="8" w:tplc="0C0A001B" w:tentative="1">
      <w:start w:val="1"/>
      <w:numFmt w:val="lowerRoman"/>
      <w:lvlText w:val="%9."/>
      <w:lvlJc w:val="right"/>
      <w:pPr>
        <w:ind w:left="6486" w:hanging="180"/>
      </w:pPr>
    </w:lvl>
  </w:abstractNum>
  <w:abstractNum w:abstractNumId="19">
    <w:nsid w:val="69E53355"/>
    <w:multiLevelType w:val="hybridMultilevel"/>
    <w:tmpl w:val="00C4AFE4"/>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0">
    <w:nsid w:val="6B277326"/>
    <w:multiLevelType w:val="hybridMultilevel"/>
    <w:tmpl w:val="7BDE6962"/>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1">
    <w:nsid w:val="6C622F23"/>
    <w:multiLevelType w:val="hybridMultilevel"/>
    <w:tmpl w:val="8D6E23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0792074"/>
    <w:multiLevelType w:val="hybridMultilevel"/>
    <w:tmpl w:val="59FA3546"/>
    <w:lvl w:ilvl="0" w:tplc="D70C7996">
      <w:start w:val="1"/>
      <w:numFmt w:val="decimal"/>
      <w:lvlText w:val="%1."/>
      <w:lvlJc w:val="left"/>
      <w:pPr>
        <w:ind w:left="72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0D164E1"/>
    <w:multiLevelType w:val="hybridMultilevel"/>
    <w:tmpl w:val="CFE4D9D4"/>
    <w:lvl w:ilvl="0" w:tplc="080A000F">
      <w:start w:val="1"/>
      <w:numFmt w:val="decimal"/>
      <w:lvlText w:val="%1."/>
      <w:lvlJc w:val="left"/>
      <w:pPr>
        <w:tabs>
          <w:tab w:val="num" w:pos="366"/>
        </w:tabs>
        <w:ind w:left="366" w:hanging="360"/>
      </w:pPr>
    </w:lvl>
    <w:lvl w:ilvl="1" w:tplc="080A0019" w:tentative="1">
      <w:start w:val="1"/>
      <w:numFmt w:val="lowerLetter"/>
      <w:lvlText w:val="%2."/>
      <w:lvlJc w:val="left"/>
      <w:pPr>
        <w:tabs>
          <w:tab w:val="num" w:pos="1446"/>
        </w:tabs>
        <w:ind w:left="1446" w:hanging="360"/>
      </w:pPr>
    </w:lvl>
    <w:lvl w:ilvl="2" w:tplc="080A001B" w:tentative="1">
      <w:start w:val="1"/>
      <w:numFmt w:val="lowerRoman"/>
      <w:lvlText w:val="%3."/>
      <w:lvlJc w:val="right"/>
      <w:pPr>
        <w:tabs>
          <w:tab w:val="num" w:pos="2166"/>
        </w:tabs>
        <w:ind w:left="2166" w:hanging="180"/>
      </w:pPr>
    </w:lvl>
    <w:lvl w:ilvl="3" w:tplc="080A000F" w:tentative="1">
      <w:start w:val="1"/>
      <w:numFmt w:val="decimal"/>
      <w:lvlText w:val="%4."/>
      <w:lvlJc w:val="left"/>
      <w:pPr>
        <w:tabs>
          <w:tab w:val="num" w:pos="2886"/>
        </w:tabs>
        <w:ind w:left="2886" w:hanging="360"/>
      </w:pPr>
    </w:lvl>
    <w:lvl w:ilvl="4" w:tplc="080A0019" w:tentative="1">
      <w:start w:val="1"/>
      <w:numFmt w:val="lowerLetter"/>
      <w:lvlText w:val="%5."/>
      <w:lvlJc w:val="left"/>
      <w:pPr>
        <w:tabs>
          <w:tab w:val="num" w:pos="3606"/>
        </w:tabs>
        <w:ind w:left="3606" w:hanging="360"/>
      </w:pPr>
    </w:lvl>
    <w:lvl w:ilvl="5" w:tplc="080A001B" w:tentative="1">
      <w:start w:val="1"/>
      <w:numFmt w:val="lowerRoman"/>
      <w:lvlText w:val="%6."/>
      <w:lvlJc w:val="right"/>
      <w:pPr>
        <w:tabs>
          <w:tab w:val="num" w:pos="4326"/>
        </w:tabs>
        <w:ind w:left="4326" w:hanging="180"/>
      </w:pPr>
    </w:lvl>
    <w:lvl w:ilvl="6" w:tplc="080A000F" w:tentative="1">
      <w:start w:val="1"/>
      <w:numFmt w:val="decimal"/>
      <w:lvlText w:val="%7."/>
      <w:lvlJc w:val="left"/>
      <w:pPr>
        <w:tabs>
          <w:tab w:val="num" w:pos="5046"/>
        </w:tabs>
        <w:ind w:left="5046" w:hanging="360"/>
      </w:pPr>
    </w:lvl>
    <w:lvl w:ilvl="7" w:tplc="080A0019" w:tentative="1">
      <w:start w:val="1"/>
      <w:numFmt w:val="lowerLetter"/>
      <w:lvlText w:val="%8."/>
      <w:lvlJc w:val="left"/>
      <w:pPr>
        <w:tabs>
          <w:tab w:val="num" w:pos="5766"/>
        </w:tabs>
        <w:ind w:left="5766" w:hanging="360"/>
      </w:pPr>
    </w:lvl>
    <w:lvl w:ilvl="8" w:tplc="080A001B" w:tentative="1">
      <w:start w:val="1"/>
      <w:numFmt w:val="lowerRoman"/>
      <w:lvlText w:val="%9."/>
      <w:lvlJc w:val="right"/>
      <w:pPr>
        <w:tabs>
          <w:tab w:val="num" w:pos="6486"/>
        </w:tabs>
        <w:ind w:left="6486" w:hanging="180"/>
      </w:pPr>
    </w:lvl>
  </w:abstractNum>
  <w:num w:numId="1">
    <w:abstractNumId w:val="23"/>
  </w:num>
  <w:num w:numId="2">
    <w:abstractNumId w:val="3"/>
  </w:num>
  <w:num w:numId="3">
    <w:abstractNumId w:val="10"/>
  </w:num>
  <w:num w:numId="4">
    <w:abstractNumId w:val="20"/>
  </w:num>
  <w:num w:numId="5">
    <w:abstractNumId w:val="1"/>
  </w:num>
  <w:num w:numId="6">
    <w:abstractNumId w:val="19"/>
  </w:num>
  <w:num w:numId="7">
    <w:abstractNumId w:val="13"/>
  </w:num>
  <w:num w:numId="8">
    <w:abstractNumId w:val="4"/>
  </w:num>
  <w:num w:numId="9">
    <w:abstractNumId w:val="18"/>
  </w:num>
  <w:num w:numId="10">
    <w:abstractNumId w:val="22"/>
  </w:num>
  <w:num w:numId="11">
    <w:abstractNumId w:val="15"/>
  </w:num>
  <w:num w:numId="12">
    <w:abstractNumId w:val="17"/>
  </w:num>
  <w:num w:numId="13">
    <w:abstractNumId w:val="7"/>
  </w:num>
  <w:num w:numId="14">
    <w:abstractNumId w:val="12"/>
  </w:num>
  <w:num w:numId="15">
    <w:abstractNumId w:val="0"/>
  </w:num>
  <w:num w:numId="16">
    <w:abstractNumId w:val="16"/>
  </w:num>
  <w:num w:numId="17">
    <w:abstractNumId w:val="6"/>
  </w:num>
  <w:num w:numId="18">
    <w:abstractNumId w:val="2"/>
  </w:num>
  <w:num w:numId="19">
    <w:abstractNumId w:val="5"/>
  </w:num>
  <w:num w:numId="20">
    <w:abstractNumId w:val="11"/>
  </w:num>
  <w:num w:numId="21">
    <w:abstractNumId w:val="14"/>
  </w:num>
  <w:num w:numId="22">
    <w:abstractNumId w:val="8"/>
  </w:num>
  <w:num w:numId="23">
    <w:abstractNumId w:val="9"/>
  </w:num>
  <w:num w:numId="24">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ELENA">
    <w15:presenceInfo w15:providerId="None" w15:userId="MARIA ELE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1F"/>
    <w:rsid w:val="00000182"/>
    <w:rsid w:val="00030F7B"/>
    <w:rsid w:val="000338D6"/>
    <w:rsid w:val="00033DC2"/>
    <w:rsid w:val="0003565B"/>
    <w:rsid w:val="000369D5"/>
    <w:rsid w:val="00037A77"/>
    <w:rsid w:val="00052908"/>
    <w:rsid w:val="000626BC"/>
    <w:rsid w:val="00062CEB"/>
    <w:rsid w:val="00066925"/>
    <w:rsid w:val="0007518A"/>
    <w:rsid w:val="00082398"/>
    <w:rsid w:val="0008444E"/>
    <w:rsid w:val="00084486"/>
    <w:rsid w:val="000907E6"/>
    <w:rsid w:val="0009083A"/>
    <w:rsid w:val="000A0A8D"/>
    <w:rsid w:val="000B23A7"/>
    <w:rsid w:val="000B405D"/>
    <w:rsid w:val="000B57E5"/>
    <w:rsid w:val="000B598B"/>
    <w:rsid w:val="000B64AC"/>
    <w:rsid w:val="000B7F25"/>
    <w:rsid w:val="000C1C56"/>
    <w:rsid w:val="000C252B"/>
    <w:rsid w:val="000C2CB3"/>
    <w:rsid w:val="000C5473"/>
    <w:rsid w:val="000C7EB1"/>
    <w:rsid w:val="000E18FA"/>
    <w:rsid w:val="000E212B"/>
    <w:rsid w:val="000E2C7E"/>
    <w:rsid w:val="000F4364"/>
    <w:rsid w:val="000F5B33"/>
    <w:rsid w:val="00102AC6"/>
    <w:rsid w:val="001107E6"/>
    <w:rsid w:val="00110F27"/>
    <w:rsid w:val="00112B23"/>
    <w:rsid w:val="00121781"/>
    <w:rsid w:val="00124B63"/>
    <w:rsid w:val="001250E0"/>
    <w:rsid w:val="00132D90"/>
    <w:rsid w:val="00134B33"/>
    <w:rsid w:val="001414DF"/>
    <w:rsid w:val="00146383"/>
    <w:rsid w:val="001574BF"/>
    <w:rsid w:val="00162DDD"/>
    <w:rsid w:val="00164729"/>
    <w:rsid w:val="0016647B"/>
    <w:rsid w:val="001760E8"/>
    <w:rsid w:val="0017773C"/>
    <w:rsid w:val="00185330"/>
    <w:rsid w:val="00186A3B"/>
    <w:rsid w:val="00187A1F"/>
    <w:rsid w:val="001957DC"/>
    <w:rsid w:val="001A113A"/>
    <w:rsid w:val="001A26D5"/>
    <w:rsid w:val="001A39A8"/>
    <w:rsid w:val="001A77D6"/>
    <w:rsid w:val="001B491B"/>
    <w:rsid w:val="001C1979"/>
    <w:rsid w:val="001D0A28"/>
    <w:rsid w:val="001D3D27"/>
    <w:rsid w:val="001D6850"/>
    <w:rsid w:val="001E015A"/>
    <w:rsid w:val="001E1CFA"/>
    <w:rsid w:val="001E23CB"/>
    <w:rsid w:val="001F2B40"/>
    <w:rsid w:val="001F2CBD"/>
    <w:rsid w:val="001F65DD"/>
    <w:rsid w:val="00206D18"/>
    <w:rsid w:val="0021435A"/>
    <w:rsid w:val="002220F4"/>
    <w:rsid w:val="002235A4"/>
    <w:rsid w:val="00224CEB"/>
    <w:rsid w:val="002319B5"/>
    <w:rsid w:val="00236360"/>
    <w:rsid w:val="00242602"/>
    <w:rsid w:val="002515CB"/>
    <w:rsid w:val="00251A43"/>
    <w:rsid w:val="00253C5E"/>
    <w:rsid w:val="00261B45"/>
    <w:rsid w:val="00262E7C"/>
    <w:rsid w:val="00266BF6"/>
    <w:rsid w:val="002771D0"/>
    <w:rsid w:val="00290793"/>
    <w:rsid w:val="00291260"/>
    <w:rsid w:val="00292EC9"/>
    <w:rsid w:val="0029458F"/>
    <w:rsid w:val="00296231"/>
    <w:rsid w:val="00296567"/>
    <w:rsid w:val="00297F6F"/>
    <w:rsid w:val="002A12F5"/>
    <w:rsid w:val="002A5020"/>
    <w:rsid w:val="002A6BB1"/>
    <w:rsid w:val="002B22D4"/>
    <w:rsid w:val="002B3224"/>
    <w:rsid w:val="002B34B1"/>
    <w:rsid w:val="002B3CB3"/>
    <w:rsid w:val="002B4964"/>
    <w:rsid w:val="002B4B1D"/>
    <w:rsid w:val="002B6219"/>
    <w:rsid w:val="002C3881"/>
    <w:rsid w:val="002C5ADC"/>
    <w:rsid w:val="002D274A"/>
    <w:rsid w:val="002D4505"/>
    <w:rsid w:val="002D4D47"/>
    <w:rsid w:val="002D5B4F"/>
    <w:rsid w:val="002D7E05"/>
    <w:rsid w:val="002E197D"/>
    <w:rsid w:val="002F3394"/>
    <w:rsid w:val="002F3744"/>
    <w:rsid w:val="002F715F"/>
    <w:rsid w:val="00300F78"/>
    <w:rsid w:val="00306D85"/>
    <w:rsid w:val="00320FBF"/>
    <w:rsid w:val="003228DB"/>
    <w:rsid w:val="00323437"/>
    <w:rsid w:val="003241D9"/>
    <w:rsid w:val="00324379"/>
    <w:rsid w:val="00326293"/>
    <w:rsid w:val="00333F11"/>
    <w:rsid w:val="00336648"/>
    <w:rsid w:val="0035223C"/>
    <w:rsid w:val="00356CD9"/>
    <w:rsid w:val="00381BB2"/>
    <w:rsid w:val="00387F38"/>
    <w:rsid w:val="003A5B2C"/>
    <w:rsid w:val="003A6224"/>
    <w:rsid w:val="003A7CB2"/>
    <w:rsid w:val="003B5FAE"/>
    <w:rsid w:val="003B76FD"/>
    <w:rsid w:val="003C383E"/>
    <w:rsid w:val="003C5F01"/>
    <w:rsid w:val="003C690E"/>
    <w:rsid w:val="003C7632"/>
    <w:rsid w:val="003D348E"/>
    <w:rsid w:val="003D4BDB"/>
    <w:rsid w:val="003D6574"/>
    <w:rsid w:val="003D6B15"/>
    <w:rsid w:val="003D73C0"/>
    <w:rsid w:val="003D7562"/>
    <w:rsid w:val="003E0AB1"/>
    <w:rsid w:val="003E5444"/>
    <w:rsid w:val="003F4E0E"/>
    <w:rsid w:val="003F6056"/>
    <w:rsid w:val="004017A4"/>
    <w:rsid w:val="00405AC6"/>
    <w:rsid w:val="004115E8"/>
    <w:rsid w:val="004147A8"/>
    <w:rsid w:val="00422FD8"/>
    <w:rsid w:val="0042514E"/>
    <w:rsid w:val="004263A6"/>
    <w:rsid w:val="004271C0"/>
    <w:rsid w:val="004358E0"/>
    <w:rsid w:val="00437543"/>
    <w:rsid w:val="0044312D"/>
    <w:rsid w:val="00452713"/>
    <w:rsid w:val="00453DE6"/>
    <w:rsid w:val="00456273"/>
    <w:rsid w:val="00457173"/>
    <w:rsid w:val="00463147"/>
    <w:rsid w:val="0046594A"/>
    <w:rsid w:val="004659C0"/>
    <w:rsid w:val="004666DE"/>
    <w:rsid w:val="00466EAA"/>
    <w:rsid w:val="004709B9"/>
    <w:rsid w:val="00471596"/>
    <w:rsid w:val="00476222"/>
    <w:rsid w:val="00477EBA"/>
    <w:rsid w:val="004917F2"/>
    <w:rsid w:val="00493EC5"/>
    <w:rsid w:val="004A42DC"/>
    <w:rsid w:val="004B0AD3"/>
    <w:rsid w:val="004B242B"/>
    <w:rsid w:val="004B6F34"/>
    <w:rsid w:val="004C0880"/>
    <w:rsid w:val="004C1B2E"/>
    <w:rsid w:val="004C22A2"/>
    <w:rsid w:val="004C29E2"/>
    <w:rsid w:val="004D3111"/>
    <w:rsid w:val="004D47C7"/>
    <w:rsid w:val="004D73DE"/>
    <w:rsid w:val="004E29F0"/>
    <w:rsid w:val="004E5367"/>
    <w:rsid w:val="004F4D86"/>
    <w:rsid w:val="004F5F81"/>
    <w:rsid w:val="004F7A13"/>
    <w:rsid w:val="00506DA3"/>
    <w:rsid w:val="005124F0"/>
    <w:rsid w:val="0052084B"/>
    <w:rsid w:val="0052342F"/>
    <w:rsid w:val="00523CE1"/>
    <w:rsid w:val="00524C5D"/>
    <w:rsid w:val="00537FCF"/>
    <w:rsid w:val="00541076"/>
    <w:rsid w:val="00557D56"/>
    <w:rsid w:val="005617E7"/>
    <w:rsid w:val="00572874"/>
    <w:rsid w:val="005754D2"/>
    <w:rsid w:val="00576746"/>
    <w:rsid w:val="00583F0A"/>
    <w:rsid w:val="005857EF"/>
    <w:rsid w:val="00590E7B"/>
    <w:rsid w:val="005937A5"/>
    <w:rsid w:val="00593FFE"/>
    <w:rsid w:val="00594F72"/>
    <w:rsid w:val="00597A6C"/>
    <w:rsid w:val="005A1067"/>
    <w:rsid w:val="005A5BAE"/>
    <w:rsid w:val="005A62D4"/>
    <w:rsid w:val="005B01BE"/>
    <w:rsid w:val="005D1275"/>
    <w:rsid w:val="005D4BCA"/>
    <w:rsid w:val="005D684A"/>
    <w:rsid w:val="005E2A4D"/>
    <w:rsid w:val="005E4B5C"/>
    <w:rsid w:val="005E5431"/>
    <w:rsid w:val="005E7016"/>
    <w:rsid w:val="005F0243"/>
    <w:rsid w:val="00600974"/>
    <w:rsid w:val="00600BF2"/>
    <w:rsid w:val="0060488F"/>
    <w:rsid w:val="006113E6"/>
    <w:rsid w:val="00612D7C"/>
    <w:rsid w:val="00622594"/>
    <w:rsid w:val="00633F09"/>
    <w:rsid w:val="00641346"/>
    <w:rsid w:val="00647A29"/>
    <w:rsid w:val="006557ED"/>
    <w:rsid w:val="00657114"/>
    <w:rsid w:val="00657C1D"/>
    <w:rsid w:val="00660C68"/>
    <w:rsid w:val="00661318"/>
    <w:rsid w:val="00667C7C"/>
    <w:rsid w:val="006770A3"/>
    <w:rsid w:val="006818E9"/>
    <w:rsid w:val="00682672"/>
    <w:rsid w:val="00682907"/>
    <w:rsid w:val="00686AF3"/>
    <w:rsid w:val="006900E1"/>
    <w:rsid w:val="00690306"/>
    <w:rsid w:val="006927E4"/>
    <w:rsid w:val="00695427"/>
    <w:rsid w:val="006A4D68"/>
    <w:rsid w:val="006A5D8B"/>
    <w:rsid w:val="006B30B5"/>
    <w:rsid w:val="006B3170"/>
    <w:rsid w:val="006B3186"/>
    <w:rsid w:val="006C0A6C"/>
    <w:rsid w:val="006C4DF4"/>
    <w:rsid w:val="006D001F"/>
    <w:rsid w:val="006D2704"/>
    <w:rsid w:val="006E26F6"/>
    <w:rsid w:val="006E3E91"/>
    <w:rsid w:val="006E4415"/>
    <w:rsid w:val="006E4A58"/>
    <w:rsid w:val="006E68B7"/>
    <w:rsid w:val="0070424A"/>
    <w:rsid w:val="007042E2"/>
    <w:rsid w:val="00710502"/>
    <w:rsid w:val="0071436C"/>
    <w:rsid w:val="00715B28"/>
    <w:rsid w:val="00722035"/>
    <w:rsid w:val="00723202"/>
    <w:rsid w:val="00723644"/>
    <w:rsid w:val="00730D39"/>
    <w:rsid w:val="007339D0"/>
    <w:rsid w:val="007377C0"/>
    <w:rsid w:val="00755D07"/>
    <w:rsid w:val="00763D0A"/>
    <w:rsid w:val="00764878"/>
    <w:rsid w:val="00775BFA"/>
    <w:rsid w:val="0078155F"/>
    <w:rsid w:val="0078261D"/>
    <w:rsid w:val="0078545C"/>
    <w:rsid w:val="00786CC8"/>
    <w:rsid w:val="00790B32"/>
    <w:rsid w:val="00791EC7"/>
    <w:rsid w:val="00794D55"/>
    <w:rsid w:val="007976A2"/>
    <w:rsid w:val="007A2480"/>
    <w:rsid w:val="007A2B30"/>
    <w:rsid w:val="007B5A01"/>
    <w:rsid w:val="007B76AB"/>
    <w:rsid w:val="007C430A"/>
    <w:rsid w:val="007D2273"/>
    <w:rsid w:val="007D3951"/>
    <w:rsid w:val="007E0241"/>
    <w:rsid w:val="007E13D3"/>
    <w:rsid w:val="007F4059"/>
    <w:rsid w:val="007F4E85"/>
    <w:rsid w:val="007F5AD2"/>
    <w:rsid w:val="007F63D6"/>
    <w:rsid w:val="007F74DE"/>
    <w:rsid w:val="007F789E"/>
    <w:rsid w:val="0080022C"/>
    <w:rsid w:val="00800CA7"/>
    <w:rsid w:val="008021DF"/>
    <w:rsid w:val="00802A6C"/>
    <w:rsid w:val="00807FB3"/>
    <w:rsid w:val="00812DD8"/>
    <w:rsid w:val="0084070D"/>
    <w:rsid w:val="0084738F"/>
    <w:rsid w:val="0085163A"/>
    <w:rsid w:val="00851C0E"/>
    <w:rsid w:val="008553BD"/>
    <w:rsid w:val="0085713D"/>
    <w:rsid w:val="00862670"/>
    <w:rsid w:val="00862C67"/>
    <w:rsid w:val="0088010C"/>
    <w:rsid w:val="00884F87"/>
    <w:rsid w:val="00885966"/>
    <w:rsid w:val="00885F4C"/>
    <w:rsid w:val="008861F2"/>
    <w:rsid w:val="00890075"/>
    <w:rsid w:val="00895099"/>
    <w:rsid w:val="008953F7"/>
    <w:rsid w:val="008A2CFC"/>
    <w:rsid w:val="008A4DC5"/>
    <w:rsid w:val="008A57F1"/>
    <w:rsid w:val="008A59F1"/>
    <w:rsid w:val="008A6CC5"/>
    <w:rsid w:val="008A7582"/>
    <w:rsid w:val="008B275D"/>
    <w:rsid w:val="008B7E37"/>
    <w:rsid w:val="008C7A61"/>
    <w:rsid w:val="008D0049"/>
    <w:rsid w:val="008D0349"/>
    <w:rsid w:val="008D17DB"/>
    <w:rsid w:val="008D2BC8"/>
    <w:rsid w:val="008E33CA"/>
    <w:rsid w:val="008E3D64"/>
    <w:rsid w:val="008E4FF8"/>
    <w:rsid w:val="008F40E6"/>
    <w:rsid w:val="00905B19"/>
    <w:rsid w:val="00913850"/>
    <w:rsid w:val="0091430B"/>
    <w:rsid w:val="0091646A"/>
    <w:rsid w:val="009260A8"/>
    <w:rsid w:val="0092751D"/>
    <w:rsid w:val="009338E7"/>
    <w:rsid w:val="00933B92"/>
    <w:rsid w:val="00940657"/>
    <w:rsid w:val="0094180D"/>
    <w:rsid w:val="00941E29"/>
    <w:rsid w:val="00942F46"/>
    <w:rsid w:val="00946B58"/>
    <w:rsid w:val="00947052"/>
    <w:rsid w:val="009506E4"/>
    <w:rsid w:val="00950A1F"/>
    <w:rsid w:val="00953BE3"/>
    <w:rsid w:val="00953C1E"/>
    <w:rsid w:val="00954C74"/>
    <w:rsid w:val="00955051"/>
    <w:rsid w:val="00955DA9"/>
    <w:rsid w:val="00956496"/>
    <w:rsid w:val="00962051"/>
    <w:rsid w:val="00964FD9"/>
    <w:rsid w:val="009748FE"/>
    <w:rsid w:val="009831C1"/>
    <w:rsid w:val="0099469F"/>
    <w:rsid w:val="009954C2"/>
    <w:rsid w:val="009A218C"/>
    <w:rsid w:val="009A51F1"/>
    <w:rsid w:val="009A6DF3"/>
    <w:rsid w:val="009B1556"/>
    <w:rsid w:val="009C2545"/>
    <w:rsid w:val="009C47A6"/>
    <w:rsid w:val="009C7276"/>
    <w:rsid w:val="009D3321"/>
    <w:rsid w:val="009D3D7F"/>
    <w:rsid w:val="009D7455"/>
    <w:rsid w:val="009D7C1E"/>
    <w:rsid w:val="009E0FC8"/>
    <w:rsid w:val="009E3515"/>
    <w:rsid w:val="009E36C3"/>
    <w:rsid w:val="009F2A1B"/>
    <w:rsid w:val="009F5FA2"/>
    <w:rsid w:val="009F6793"/>
    <w:rsid w:val="00A01704"/>
    <w:rsid w:val="00A03152"/>
    <w:rsid w:val="00A031CF"/>
    <w:rsid w:val="00A11218"/>
    <w:rsid w:val="00A22A7D"/>
    <w:rsid w:val="00A22B9B"/>
    <w:rsid w:val="00A253A5"/>
    <w:rsid w:val="00A2573E"/>
    <w:rsid w:val="00A30258"/>
    <w:rsid w:val="00A31172"/>
    <w:rsid w:val="00A343C2"/>
    <w:rsid w:val="00A42991"/>
    <w:rsid w:val="00A42D04"/>
    <w:rsid w:val="00A4675A"/>
    <w:rsid w:val="00A5160A"/>
    <w:rsid w:val="00A6008E"/>
    <w:rsid w:val="00A640EE"/>
    <w:rsid w:val="00A65AD8"/>
    <w:rsid w:val="00A71FFD"/>
    <w:rsid w:val="00A767E6"/>
    <w:rsid w:val="00A81A74"/>
    <w:rsid w:val="00A827F5"/>
    <w:rsid w:val="00A902C2"/>
    <w:rsid w:val="00A911C6"/>
    <w:rsid w:val="00A942CA"/>
    <w:rsid w:val="00A94D01"/>
    <w:rsid w:val="00A961EB"/>
    <w:rsid w:val="00AA0F70"/>
    <w:rsid w:val="00AA2179"/>
    <w:rsid w:val="00AA3CCB"/>
    <w:rsid w:val="00AA4F8F"/>
    <w:rsid w:val="00AA56FD"/>
    <w:rsid w:val="00AB5A13"/>
    <w:rsid w:val="00AB5BBF"/>
    <w:rsid w:val="00AB6304"/>
    <w:rsid w:val="00AC1D79"/>
    <w:rsid w:val="00AC58A0"/>
    <w:rsid w:val="00AC5F26"/>
    <w:rsid w:val="00AC64BB"/>
    <w:rsid w:val="00AC6D79"/>
    <w:rsid w:val="00AD1EFA"/>
    <w:rsid w:val="00AE3289"/>
    <w:rsid w:val="00AE47A3"/>
    <w:rsid w:val="00AE497F"/>
    <w:rsid w:val="00AE785E"/>
    <w:rsid w:val="00AF24D4"/>
    <w:rsid w:val="00AF390A"/>
    <w:rsid w:val="00AF5B20"/>
    <w:rsid w:val="00AF71D5"/>
    <w:rsid w:val="00B058DE"/>
    <w:rsid w:val="00B0639E"/>
    <w:rsid w:val="00B06487"/>
    <w:rsid w:val="00B11F5B"/>
    <w:rsid w:val="00B13539"/>
    <w:rsid w:val="00B21E43"/>
    <w:rsid w:val="00B25062"/>
    <w:rsid w:val="00B26B31"/>
    <w:rsid w:val="00B32B7E"/>
    <w:rsid w:val="00B34429"/>
    <w:rsid w:val="00B50D49"/>
    <w:rsid w:val="00B51E70"/>
    <w:rsid w:val="00B55FEC"/>
    <w:rsid w:val="00B57D23"/>
    <w:rsid w:val="00B6206F"/>
    <w:rsid w:val="00B652AE"/>
    <w:rsid w:val="00B70903"/>
    <w:rsid w:val="00B7403F"/>
    <w:rsid w:val="00B836EF"/>
    <w:rsid w:val="00B8494C"/>
    <w:rsid w:val="00B90755"/>
    <w:rsid w:val="00B90BF9"/>
    <w:rsid w:val="00B91A06"/>
    <w:rsid w:val="00B91FFA"/>
    <w:rsid w:val="00BA3886"/>
    <w:rsid w:val="00BA659F"/>
    <w:rsid w:val="00BC1DE1"/>
    <w:rsid w:val="00BC5248"/>
    <w:rsid w:val="00BD103C"/>
    <w:rsid w:val="00BD3E17"/>
    <w:rsid w:val="00BD4118"/>
    <w:rsid w:val="00BE020B"/>
    <w:rsid w:val="00BE211C"/>
    <w:rsid w:val="00BE2550"/>
    <w:rsid w:val="00BE6655"/>
    <w:rsid w:val="00BF115C"/>
    <w:rsid w:val="00BF7FCF"/>
    <w:rsid w:val="00C01794"/>
    <w:rsid w:val="00C03C30"/>
    <w:rsid w:val="00C04BC9"/>
    <w:rsid w:val="00C16C2E"/>
    <w:rsid w:val="00C205BC"/>
    <w:rsid w:val="00C207A2"/>
    <w:rsid w:val="00C31EB9"/>
    <w:rsid w:val="00C34B13"/>
    <w:rsid w:val="00C36650"/>
    <w:rsid w:val="00C37193"/>
    <w:rsid w:val="00C410CD"/>
    <w:rsid w:val="00C50512"/>
    <w:rsid w:val="00C54C66"/>
    <w:rsid w:val="00C611CB"/>
    <w:rsid w:val="00C62487"/>
    <w:rsid w:val="00C71B86"/>
    <w:rsid w:val="00C71E1C"/>
    <w:rsid w:val="00C76E3F"/>
    <w:rsid w:val="00C91257"/>
    <w:rsid w:val="00C9387E"/>
    <w:rsid w:val="00C93FF2"/>
    <w:rsid w:val="00CA0D73"/>
    <w:rsid w:val="00CA518B"/>
    <w:rsid w:val="00CA569B"/>
    <w:rsid w:val="00CA6E39"/>
    <w:rsid w:val="00CC12FB"/>
    <w:rsid w:val="00CC2EAA"/>
    <w:rsid w:val="00CC4882"/>
    <w:rsid w:val="00CC55BE"/>
    <w:rsid w:val="00CD088B"/>
    <w:rsid w:val="00CD4BEA"/>
    <w:rsid w:val="00CD5151"/>
    <w:rsid w:val="00CD7B09"/>
    <w:rsid w:val="00CE2C42"/>
    <w:rsid w:val="00CF01E1"/>
    <w:rsid w:val="00CF0629"/>
    <w:rsid w:val="00D013F7"/>
    <w:rsid w:val="00D13852"/>
    <w:rsid w:val="00D161C5"/>
    <w:rsid w:val="00D1715C"/>
    <w:rsid w:val="00D248D8"/>
    <w:rsid w:val="00D27282"/>
    <w:rsid w:val="00D31D14"/>
    <w:rsid w:val="00D32413"/>
    <w:rsid w:val="00D36559"/>
    <w:rsid w:val="00D4151B"/>
    <w:rsid w:val="00D43342"/>
    <w:rsid w:val="00D4521C"/>
    <w:rsid w:val="00D45554"/>
    <w:rsid w:val="00D501C1"/>
    <w:rsid w:val="00D547C2"/>
    <w:rsid w:val="00D559DB"/>
    <w:rsid w:val="00D560C2"/>
    <w:rsid w:val="00D574F3"/>
    <w:rsid w:val="00D63BD5"/>
    <w:rsid w:val="00D6505E"/>
    <w:rsid w:val="00D66844"/>
    <w:rsid w:val="00D754C7"/>
    <w:rsid w:val="00D8281F"/>
    <w:rsid w:val="00D83321"/>
    <w:rsid w:val="00D840CB"/>
    <w:rsid w:val="00D86FC4"/>
    <w:rsid w:val="00D93BEA"/>
    <w:rsid w:val="00D9432B"/>
    <w:rsid w:val="00DA0DC6"/>
    <w:rsid w:val="00DA1A0A"/>
    <w:rsid w:val="00DA7547"/>
    <w:rsid w:val="00DB0B52"/>
    <w:rsid w:val="00DB27B5"/>
    <w:rsid w:val="00DC1407"/>
    <w:rsid w:val="00DC3301"/>
    <w:rsid w:val="00DC54D6"/>
    <w:rsid w:val="00DE28FD"/>
    <w:rsid w:val="00E009C1"/>
    <w:rsid w:val="00E06990"/>
    <w:rsid w:val="00E24BF0"/>
    <w:rsid w:val="00E334CF"/>
    <w:rsid w:val="00E46FD3"/>
    <w:rsid w:val="00E50B54"/>
    <w:rsid w:val="00E513E9"/>
    <w:rsid w:val="00E51619"/>
    <w:rsid w:val="00E52134"/>
    <w:rsid w:val="00E525FB"/>
    <w:rsid w:val="00E61304"/>
    <w:rsid w:val="00E727AE"/>
    <w:rsid w:val="00E73DE0"/>
    <w:rsid w:val="00E76864"/>
    <w:rsid w:val="00E81F03"/>
    <w:rsid w:val="00E86DC3"/>
    <w:rsid w:val="00E92096"/>
    <w:rsid w:val="00E93829"/>
    <w:rsid w:val="00E94665"/>
    <w:rsid w:val="00EA2F02"/>
    <w:rsid w:val="00EA3DCB"/>
    <w:rsid w:val="00EA3F74"/>
    <w:rsid w:val="00EA5D5C"/>
    <w:rsid w:val="00EA66FF"/>
    <w:rsid w:val="00EA770D"/>
    <w:rsid w:val="00EB0B4F"/>
    <w:rsid w:val="00EB19A8"/>
    <w:rsid w:val="00EB2737"/>
    <w:rsid w:val="00EB4668"/>
    <w:rsid w:val="00EB4E15"/>
    <w:rsid w:val="00EB7C04"/>
    <w:rsid w:val="00EC14D1"/>
    <w:rsid w:val="00EC6E39"/>
    <w:rsid w:val="00ED51F7"/>
    <w:rsid w:val="00ED70E3"/>
    <w:rsid w:val="00ED7C44"/>
    <w:rsid w:val="00EE0661"/>
    <w:rsid w:val="00EE71F0"/>
    <w:rsid w:val="00EF07F9"/>
    <w:rsid w:val="00EF0DA9"/>
    <w:rsid w:val="00EF63BE"/>
    <w:rsid w:val="00F00FBF"/>
    <w:rsid w:val="00F01A28"/>
    <w:rsid w:val="00F01BA7"/>
    <w:rsid w:val="00F14B59"/>
    <w:rsid w:val="00F245E6"/>
    <w:rsid w:val="00F276D8"/>
    <w:rsid w:val="00F371DB"/>
    <w:rsid w:val="00F3732E"/>
    <w:rsid w:val="00F40679"/>
    <w:rsid w:val="00F528B9"/>
    <w:rsid w:val="00F63067"/>
    <w:rsid w:val="00F6514D"/>
    <w:rsid w:val="00F66A43"/>
    <w:rsid w:val="00F71DFA"/>
    <w:rsid w:val="00F729D3"/>
    <w:rsid w:val="00F75183"/>
    <w:rsid w:val="00F8535C"/>
    <w:rsid w:val="00F86AA0"/>
    <w:rsid w:val="00F9203A"/>
    <w:rsid w:val="00F94101"/>
    <w:rsid w:val="00FA4C5B"/>
    <w:rsid w:val="00FB19A7"/>
    <w:rsid w:val="00FC292D"/>
    <w:rsid w:val="00FC32C2"/>
    <w:rsid w:val="00FC337E"/>
    <w:rsid w:val="00FC3597"/>
    <w:rsid w:val="00FD33B1"/>
    <w:rsid w:val="00FD465A"/>
    <w:rsid w:val="00FE1592"/>
    <w:rsid w:val="00FE3758"/>
    <w:rsid w:val="00FE5BB9"/>
    <w:rsid w:val="00FF2CBC"/>
    <w:rsid w:val="00FF7A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D2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55"/>
    <w:rPr>
      <w:rFonts w:ascii="Arial" w:hAnsi="Arial"/>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E6655"/>
    <w:pPr>
      <w:tabs>
        <w:tab w:val="center" w:pos="4419"/>
        <w:tab w:val="right" w:pos="8838"/>
      </w:tabs>
    </w:pPr>
  </w:style>
  <w:style w:type="paragraph" w:styleId="Piedepgina">
    <w:name w:val="footer"/>
    <w:basedOn w:val="Normal"/>
    <w:link w:val="PiedepginaCar"/>
    <w:uiPriority w:val="99"/>
    <w:rsid w:val="00BE6655"/>
    <w:pPr>
      <w:tabs>
        <w:tab w:val="center" w:pos="4419"/>
        <w:tab w:val="right" w:pos="8838"/>
      </w:tabs>
    </w:pPr>
  </w:style>
  <w:style w:type="table" w:styleId="Tablaconcuadrcula">
    <w:name w:val="Table Grid"/>
    <w:basedOn w:val="Tablanormal"/>
    <w:rsid w:val="00BE66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D754C7"/>
    <w:rPr>
      <w:rFonts w:ascii="Arial" w:hAnsi="Arial"/>
      <w:sz w:val="24"/>
      <w:szCs w:val="24"/>
      <w:lang w:val="es-MX" w:eastAsia="es-MX"/>
    </w:rPr>
  </w:style>
  <w:style w:type="paragraph" w:styleId="Textodeglobo">
    <w:name w:val="Balloon Text"/>
    <w:basedOn w:val="Normal"/>
    <w:link w:val="TextodegloboCar"/>
    <w:rsid w:val="00D754C7"/>
    <w:rPr>
      <w:rFonts w:ascii="Tahoma" w:hAnsi="Tahoma" w:cs="Tahoma"/>
      <w:sz w:val="16"/>
      <w:szCs w:val="16"/>
    </w:rPr>
  </w:style>
  <w:style w:type="character" w:customStyle="1" w:styleId="TextodegloboCar">
    <w:name w:val="Texto de globo Car"/>
    <w:basedOn w:val="Fuentedeprrafopredeter"/>
    <w:link w:val="Textodeglobo"/>
    <w:rsid w:val="00D754C7"/>
    <w:rPr>
      <w:rFonts w:ascii="Tahoma" w:hAnsi="Tahoma" w:cs="Tahoma"/>
      <w:sz w:val="16"/>
      <w:szCs w:val="16"/>
      <w:lang w:val="es-MX" w:eastAsia="es-MX"/>
    </w:rPr>
  </w:style>
  <w:style w:type="paragraph" w:styleId="Prrafodelista">
    <w:name w:val="List Paragraph"/>
    <w:basedOn w:val="Normal"/>
    <w:uiPriority w:val="34"/>
    <w:qFormat/>
    <w:rsid w:val="00493EC5"/>
    <w:pPr>
      <w:ind w:left="720"/>
      <w:contextualSpacing/>
    </w:pPr>
  </w:style>
  <w:style w:type="character" w:customStyle="1" w:styleId="EncabezadoCar">
    <w:name w:val="Encabezado Car"/>
    <w:link w:val="Encabezado"/>
    <w:uiPriority w:val="99"/>
    <w:rsid w:val="00121781"/>
    <w:rPr>
      <w:rFonts w:ascii="Arial" w:hAnsi="Arial"/>
      <w:sz w:val="24"/>
      <w:szCs w:val="24"/>
      <w:lang w:eastAsia="es-MX"/>
    </w:rPr>
  </w:style>
  <w:style w:type="character" w:styleId="Refdecomentario">
    <w:name w:val="annotation reference"/>
    <w:basedOn w:val="Fuentedeprrafopredeter"/>
    <w:semiHidden/>
    <w:unhideWhenUsed/>
    <w:rsid w:val="00D83321"/>
    <w:rPr>
      <w:sz w:val="16"/>
      <w:szCs w:val="16"/>
    </w:rPr>
  </w:style>
  <w:style w:type="paragraph" w:styleId="Textocomentario">
    <w:name w:val="annotation text"/>
    <w:basedOn w:val="Normal"/>
    <w:link w:val="TextocomentarioCar"/>
    <w:semiHidden/>
    <w:unhideWhenUsed/>
    <w:rsid w:val="00D83321"/>
    <w:rPr>
      <w:sz w:val="20"/>
      <w:szCs w:val="20"/>
    </w:rPr>
  </w:style>
  <w:style w:type="character" w:customStyle="1" w:styleId="TextocomentarioCar">
    <w:name w:val="Texto comentario Car"/>
    <w:basedOn w:val="Fuentedeprrafopredeter"/>
    <w:link w:val="Textocomentario"/>
    <w:semiHidden/>
    <w:rsid w:val="00D83321"/>
    <w:rPr>
      <w:rFonts w:ascii="Arial" w:hAnsi="Arial"/>
      <w:lang w:eastAsia="es-MX"/>
    </w:rPr>
  </w:style>
  <w:style w:type="paragraph" w:styleId="Asuntodelcomentario">
    <w:name w:val="annotation subject"/>
    <w:basedOn w:val="Textocomentario"/>
    <w:next w:val="Textocomentario"/>
    <w:link w:val="AsuntodelcomentarioCar"/>
    <w:semiHidden/>
    <w:unhideWhenUsed/>
    <w:rsid w:val="00D83321"/>
    <w:rPr>
      <w:b/>
      <w:bCs/>
    </w:rPr>
  </w:style>
  <w:style w:type="character" w:customStyle="1" w:styleId="AsuntodelcomentarioCar">
    <w:name w:val="Asunto del comentario Car"/>
    <w:basedOn w:val="TextocomentarioCar"/>
    <w:link w:val="Asuntodelcomentario"/>
    <w:semiHidden/>
    <w:rsid w:val="00D83321"/>
    <w:rPr>
      <w:rFonts w:ascii="Arial" w:hAnsi="Arial"/>
      <w:b/>
      <w:bCs/>
      <w:lang w:eastAsia="es-MX"/>
    </w:rPr>
  </w:style>
  <w:style w:type="paragraph" w:customStyle="1" w:styleId="Default">
    <w:name w:val="Default"/>
    <w:rsid w:val="00A343C2"/>
    <w:pPr>
      <w:autoSpaceDE w:val="0"/>
      <w:autoSpaceDN w:val="0"/>
      <w:adjustRightInd w:val="0"/>
    </w:pPr>
    <w:rPr>
      <w:rFonts w:ascii="Arial" w:hAnsi="Arial" w:cs="Arial"/>
      <w:color w:val="000000"/>
      <w:sz w:val="24"/>
      <w:szCs w:val="24"/>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55"/>
    <w:rPr>
      <w:rFonts w:ascii="Arial" w:hAnsi="Arial"/>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E6655"/>
    <w:pPr>
      <w:tabs>
        <w:tab w:val="center" w:pos="4419"/>
        <w:tab w:val="right" w:pos="8838"/>
      </w:tabs>
    </w:pPr>
  </w:style>
  <w:style w:type="paragraph" w:styleId="Piedepgina">
    <w:name w:val="footer"/>
    <w:basedOn w:val="Normal"/>
    <w:link w:val="PiedepginaCar"/>
    <w:uiPriority w:val="99"/>
    <w:rsid w:val="00BE6655"/>
    <w:pPr>
      <w:tabs>
        <w:tab w:val="center" w:pos="4419"/>
        <w:tab w:val="right" w:pos="8838"/>
      </w:tabs>
    </w:pPr>
  </w:style>
  <w:style w:type="table" w:styleId="Tablaconcuadrcula">
    <w:name w:val="Table Grid"/>
    <w:basedOn w:val="Tablanormal"/>
    <w:rsid w:val="00BE66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D754C7"/>
    <w:rPr>
      <w:rFonts w:ascii="Arial" w:hAnsi="Arial"/>
      <w:sz w:val="24"/>
      <w:szCs w:val="24"/>
      <w:lang w:val="es-MX" w:eastAsia="es-MX"/>
    </w:rPr>
  </w:style>
  <w:style w:type="paragraph" w:styleId="Textodeglobo">
    <w:name w:val="Balloon Text"/>
    <w:basedOn w:val="Normal"/>
    <w:link w:val="TextodegloboCar"/>
    <w:rsid w:val="00D754C7"/>
    <w:rPr>
      <w:rFonts w:ascii="Tahoma" w:hAnsi="Tahoma" w:cs="Tahoma"/>
      <w:sz w:val="16"/>
      <w:szCs w:val="16"/>
    </w:rPr>
  </w:style>
  <w:style w:type="character" w:customStyle="1" w:styleId="TextodegloboCar">
    <w:name w:val="Texto de globo Car"/>
    <w:basedOn w:val="Fuentedeprrafopredeter"/>
    <w:link w:val="Textodeglobo"/>
    <w:rsid w:val="00D754C7"/>
    <w:rPr>
      <w:rFonts w:ascii="Tahoma" w:hAnsi="Tahoma" w:cs="Tahoma"/>
      <w:sz w:val="16"/>
      <w:szCs w:val="16"/>
      <w:lang w:val="es-MX" w:eastAsia="es-MX"/>
    </w:rPr>
  </w:style>
  <w:style w:type="paragraph" w:styleId="Prrafodelista">
    <w:name w:val="List Paragraph"/>
    <w:basedOn w:val="Normal"/>
    <w:uiPriority w:val="34"/>
    <w:qFormat/>
    <w:rsid w:val="00493EC5"/>
    <w:pPr>
      <w:ind w:left="720"/>
      <w:contextualSpacing/>
    </w:pPr>
  </w:style>
  <w:style w:type="character" w:customStyle="1" w:styleId="EncabezadoCar">
    <w:name w:val="Encabezado Car"/>
    <w:link w:val="Encabezado"/>
    <w:uiPriority w:val="99"/>
    <w:rsid w:val="00121781"/>
    <w:rPr>
      <w:rFonts w:ascii="Arial" w:hAnsi="Arial"/>
      <w:sz w:val="24"/>
      <w:szCs w:val="24"/>
      <w:lang w:eastAsia="es-MX"/>
    </w:rPr>
  </w:style>
  <w:style w:type="character" w:styleId="Refdecomentario">
    <w:name w:val="annotation reference"/>
    <w:basedOn w:val="Fuentedeprrafopredeter"/>
    <w:semiHidden/>
    <w:unhideWhenUsed/>
    <w:rsid w:val="00D83321"/>
    <w:rPr>
      <w:sz w:val="16"/>
      <w:szCs w:val="16"/>
    </w:rPr>
  </w:style>
  <w:style w:type="paragraph" w:styleId="Textocomentario">
    <w:name w:val="annotation text"/>
    <w:basedOn w:val="Normal"/>
    <w:link w:val="TextocomentarioCar"/>
    <w:semiHidden/>
    <w:unhideWhenUsed/>
    <w:rsid w:val="00D83321"/>
    <w:rPr>
      <w:sz w:val="20"/>
      <w:szCs w:val="20"/>
    </w:rPr>
  </w:style>
  <w:style w:type="character" w:customStyle="1" w:styleId="TextocomentarioCar">
    <w:name w:val="Texto comentario Car"/>
    <w:basedOn w:val="Fuentedeprrafopredeter"/>
    <w:link w:val="Textocomentario"/>
    <w:semiHidden/>
    <w:rsid w:val="00D83321"/>
    <w:rPr>
      <w:rFonts w:ascii="Arial" w:hAnsi="Arial"/>
      <w:lang w:eastAsia="es-MX"/>
    </w:rPr>
  </w:style>
  <w:style w:type="paragraph" w:styleId="Asuntodelcomentario">
    <w:name w:val="annotation subject"/>
    <w:basedOn w:val="Textocomentario"/>
    <w:next w:val="Textocomentario"/>
    <w:link w:val="AsuntodelcomentarioCar"/>
    <w:semiHidden/>
    <w:unhideWhenUsed/>
    <w:rsid w:val="00D83321"/>
    <w:rPr>
      <w:b/>
      <w:bCs/>
    </w:rPr>
  </w:style>
  <w:style w:type="character" w:customStyle="1" w:styleId="AsuntodelcomentarioCar">
    <w:name w:val="Asunto del comentario Car"/>
    <w:basedOn w:val="TextocomentarioCar"/>
    <w:link w:val="Asuntodelcomentario"/>
    <w:semiHidden/>
    <w:rsid w:val="00D83321"/>
    <w:rPr>
      <w:rFonts w:ascii="Arial" w:hAnsi="Arial"/>
      <w:b/>
      <w:bCs/>
      <w:lang w:eastAsia="es-MX"/>
    </w:rPr>
  </w:style>
  <w:style w:type="paragraph" w:customStyle="1" w:styleId="Default">
    <w:name w:val="Default"/>
    <w:rsid w:val="00A343C2"/>
    <w:pPr>
      <w:autoSpaceDE w:val="0"/>
      <w:autoSpaceDN w:val="0"/>
      <w:adjustRightInd w:val="0"/>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1179">
      <w:bodyDiv w:val="1"/>
      <w:marLeft w:val="0"/>
      <w:marRight w:val="0"/>
      <w:marTop w:val="0"/>
      <w:marBottom w:val="0"/>
      <w:divBdr>
        <w:top w:val="none" w:sz="0" w:space="0" w:color="auto"/>
        <w:left w:val="none" w:sz="0" w:space="0" w:color="auto"/>
        <w:bottom w:val="none" w:sz="0" w:space="0" w:color="auto"/>
        <w:right w:val="none" w:sz="0" w:space="0" w:color="auto"/>
      </w:divBdr>
    </w:div>
    <w:div w:id="240264033">
      <w:bodyDiv w:val="1"/>
      <w:marLeft w:val="0"/>
      <w:marRight w:val="0"/>
      <w:marTop w:val="0"/>
      <w:marBottom w:val="0"/>
      <w:divBdr>
        <w:top w:val="none" w:sz="0" w:space="0" w:color="auto"/>
        <w:left w:val="none" w:sz="0" w:space="0" w:color="auto"/>
        <w:bottom w:val="none" w:sz="0" w:space="0" w:color="auto"/>
        <w:right w:val="none" w:sz="0" w:space="0" w:color="auto"/>
      </w:divBdr>
    </w:div>
    <w:div w:id="460850038">
      <w:bodyDiv w:val="1"/>
      <w:marLeft w:val="0"/>
      <w:marRight w:val="0"/>
      <w:marTop w:val="0"/>
      <w:marBottom w:val="0"/>
      <w:divBdr>
        <w:top w:val="none" w:sz="0" w:space="0" w:color="auto"/>
        <w:left w:val="none" w:sz="0" w:space="0" w:color="auto"/>
        <w:bottom w:val="none" w:sz="0" w:space="0" w:color="auto"/>
        <w:right w:val="none" w:sz="0" w:space="0" w:color="auto"/>
      </w:divBdr>
    </w:div>
    <w:div w:id="517087605">
      <w:bodyDiv w:val="1"/>
      <w:marLeft w:val="0"/>
      <w:marRight w:val="0"/>
      <w:marTop w:val="0"/>
      <w:marBottom w:val="0"/>
      <w:divBdr>
        <w:top w:val="none" w:sz="0" w:space="0" w:color="auto"/>
        <w:left w:val="none" w:sz="0" w:space="0" w:color="auto"/>
        <w:bottom w:val="none" w:sz="0" w:space="0" w:color="auto"/>
        <w:right w:val="none" w:sz="0" w:space="0" w:color="auto"/>
      </w:divBdr>
    </w:div>
    <w:div w:id="524640422">
      <w:bodyDiv w:val="1"/>
      <w:marLeft w:val="0"/>
      <w:marRight w:val="0"/>
      <w:marTop w:val="0"/>
      <w:marBottom w:val="0"/>
      <w:divBdr>
        <w:top w:val="none" w:sz="0" w:space="0" w:color="auto"/>
        <w:left w:val="none" w:sz="0" w:space="0" w:color="auto"/>
        <w:bottom w:val="none" w:sz="0" w:space="0" w:color="auto"/>
        <w:right w:val="none" w:sz="0" w:space="0" w:color="auto"/>
      </w:divBdr>
    </w:div>
    <w:div w:id="529073136">
      <w:bodyDiv w:val="1"/>
      <w:marLeft w:val="0"/>
      <w:marRight w:val="0"/>
      <w:marTop w:val="0"/>
      <w:marBottom w:val="0"/>
      <w:divBdr>
        <w:top w:val="none" w:sz="0" w:space="0" w:color="auto"/>
        <w:left w:val="none" w:sz="0" w:space="0" w:color="auto"/>
        <w:bottom w:val="none" w:sz="0" w:space="0" w:color="auto"/>
        <w:right w:val="none" w:sz="0" w:space="0" w:color="auto"/>
      </w:divBdr>
    </w:div>
    <w:div w:id="533005587">
      <w:bodyDiv w:val="1"/>
      <w:marLeft w:val="0"/>
      <w:marRight w:val="0"/>
      <w:marTop w:val="0"/>
      <w:marBottom w:val="0"/>
      <w:divBdr>
        <w:top w:val="none" w:sz="0" w:space="0" w:color="auto"/>
        <w:left w:val="none" w:sz="0" w:space="0" w:color="auto"/>
        <w:bottom w:val="none" w:sz="0" w:space="0" w:color="auto"/>
        <w:right w:val="none" w:sz="0" w:space="0" w:color="auto"/>
      </w:divBdr>
    </w:div>
    <w:div w:id="549265672">
      <w:bodyDiv w:val="1"/>
      <w:marLeft w:val="0"/>
      <w:marRight w:val="0"/>
      <w:marTop w:val="0"/>
      <w:marBottom w:val="0"/>
      <w:divBdr>
        <w:top w:val="none" w:sz="0" w:space="0" w:color="auto"/>
        <w:left w:val="none" w:sz="0" w:space="0" w:color="auto"/>
        <w:bottom w:val="none" w:sz="0" w:space="0" w:color="auto"/>
        <w:right w:val="none" w:sz="0" w:space="0" w:color="auto"/>
      </w:divBdr>
    </w:div>
    <w:div w:id="790901055">
      <w:bodyDiv w:val="1"/>
      <w:marLeft w:val="0"/>
      <w:marRight w:val="0"/>
      <w:marTop w:val="0"/>
      <w:marBottom w:val="0"/>
      <w:divBdr>
        <w:top w:val="none" w:sz="0" w:space="0" w:color="auto"/>
        <w:left w:val="none" w:sz="0" w:space="0" w:color="auto"/>
        <w:bottom w:val="none" w:sz="0" w:space="0" w:color="auto"/>
        <w:right w:val="none" w:sz="0" w:space="0" w:color="auto"/>
      </w:divBdr>
    </w:div>
    <w:div w:id="861210752">
      <w:bodyDiv w:val="1"/>
      <w:marLeft w:val="0"/>
      <w:marRight w:val="0"/>
      <w:marTop w:val="0"/>
      <w:marBottom w:val="0"/>
      <w:divBdr>
        <w:top w:val="none" w:sz="0" w:space="0" w:color="auto"/>
        <w:left w:val="none" w:sz="0" w:space="0" w:color="auto"/>
        <w:bottom w:val="none" w:sz="0" w:space="0" w:color="auto"/>
        <w:right w:val="none" w:sz="0" w:space="0" w:color="auto"/>
      </w:divBdr>
    </w:div>
    <w:div w:id="878707735">
      <w:bodyDiv w:val="1"/>
      <w:marLeft w:val="0"/>
      <w:marRight w:val="0"/>
      <w:marTop w:val="0"/>
      <w:marBottom w:val="0"/>
      <w:divBdr>
        <w:top w:val="none" w:sz="0" w:space="0" w:color="auto"/>
        <w:left w:val="none" w:sz="0" w:space="0" w:color="auto"/>
        <w:bottom w:val="none" w:sz="0" w:space="0" w:color="auto"/>
        <w:right w:val="none" w:sz="0" w:space="0" w:color="auto"/>
      </w:divBdr>
    </w:div>
    <w:div w:id="885874480">
      <w:bodyDiv w:val="1"/>
      <w:marLeft w:val="0"/>
      <w:marRight w:val="0"/>
      <w:marTop w:val="0"/>
      <w:marBottom w:val="0"/>
      <w:divBdr>
        <w:top w:val="none" w:sz="0" w:space="0" w:color="auto"/>
        <w:left w:val="none" w:sz="0" w:space="0" w:color="auto"/>
        <w:bottom w:val="none" w:sz="0" w:space="0" w:color="auto"/>
        <w:right w:val="none" w:sz="0" w:space="0" w:color="auto"/>
      </w:divBdr>
    </w:div>
    <w:div w:id="1074887424">
      <w:bodyDiv w:val="1"/>
      <w:marLeft w:val="0"/>
      <w:marRight w:val="0"/>
      <w:marTop w:val="0"/>
      <w:marBottom w:val="0"/>
      <w:divBdr>
        <w:top w:val="none" w:sz="0" w:space="0" w:color="auto"/>
        <w:left w:val="none" w:sz="0" w:space="0" w:color="auto"/>
        <w:bottom w:val="none" w:sz="0" w:space="0" w:color="auto"/>
        <w:right w:val="none" w:sz="0" w:space="0" w:color="auto"/>
      </w:divBdr>
    </w:div>
    <w:div w:id="1093668493">
      <w:bodyDiv w:val="1"/>
      <w:marLeft w:val="0"/>
      <w:marRight w:val="0"/>
      <w:marTop w:val="0"/>
      <w:marBottom w:val="0"/>
      <w:divBdr>
        <w:top w:val="none" w:sz="0" w:space="0" w:color="auto"/>
        <w:left w:val="none" w:sz="0" w:space="0" w:color="auto"/>
        <w:bottom w:val="none" w:sz="0" w:space="0" w:color="auto"/>
        <w:right w:val="none" w:sz="0" w:space="0" w:color="auto"/>
      </w:divBdr>
    </w:div>
    <w:div w:id="1143038497">
      <w:bodyDiv w:val="1"/>
      <w:marLeft w:val="0"/>
      <w:marRight w:val="0"/>
      <w:marTop w:val="0"/>
      <w:marBottom w:val="0"/>
      <w:divBdr>
        <w:top w:val="none" w:sz="0" w:space="0" w:color="auto"/>
        <w:left w:val="none" w:sz="0" w:space="0" w:color="auto"/>
        <w:bottom w:val="none" w:sz="0" w:space="0" w:color="auto"/>
        <w:right w:val="none" w:sz="0" w:space="0" w:color="auto"/>
      </w:divBdr>
    </w:div>
    <w:div w:id="1192917482">
      <w:bodyDiv w:val="1"/>
      <w:marLeft w:val="0"/>
      <w:marRight w:val="0"/>
      <w:marTop w:val="0"/>
      <w:marBottom w:val="0"/>
      <w:divBdr>
        <w:top w:val="none" w:sz="0" w:space="0" w:color="auto"/>
        <w:left w:val="none" w:sz="0" w:space="0" w:color="auto"/>
        <w:bottom w:val="none" w:sz="0" w:space="0" w:color="auto"/>
        <w:right w:val="none" w:sz="0" w:space="0" w:color="auto"/>
      </w:divBdr>
    </w:div>
    <w:div w:id="1352754978">
      <w:bodyDiv w:val="1"/>
      <w:marLeft w:val="0"/>
      <w:marRight w:val="0"/>
      <w:marTop w:val="0"/>
      <w:marBottom w:val="0"/>
      <w:divBdr>
        <w:top w:val="none" w:sz="0" w:space="0" w:color="auto"/>
        <w:left w:val="none" w:sz="0" w:space="0" w:color="auto"/>
        <w:bottom w:val="none" w:sz="0" w:space="0" w:color="auto"/>
        <w:right w:val="none" w:sz="0" w:space="0" w:color="auto"/>
      </w:divBdr>
    </w:div>
    <w:div w:id="1604337773">
      <w:bodyDiv w:val="1"/>
      <w:marLeft w:val="0"/>
      <w:marRight w:val="0"/>
      <w:marTop w:val="0"/>
      <w:marBottom w:val="0"/>
      <w:divBdr>
        <w:top w:val="none" w:sz="0" w:space="0" w:color="auto"/>
        <w:left w:val="none" w:sz="0" w:space="0" w:color="auto"/>
        <w:bottom w:val="none" w:sz="0" w:space="0" w:color="auto"/>
        <w:right w:val="none" w:sz="0" w:space="0" w:color="auto"/>
      </w:divBdr>
    </w:div>
    <w:div w:id="1618098180">
      <w:bodyDiv w:val="1"/>
      <w:marLeft w:val="0"/>
      <w:marRight w:val="0"/>
      <w:marTop w:val="0"/>
      <w:marBottom w:val="0"/>
      <w:divBdr>
        <w:top w:val="none" w:sz="0" w:space="0" w:color="auto"/>
        <w:left w:val="none" w:sz="0" w:space="0" w:color="auto"/>
        <w:bottom w:val="none" w:sz="0" w:space="0" w:color="auto"/>
        <w:right w:val="none" w:sz="0" w:space="0" w:color="auto"/>
      </w:divBdr>
    </w:div>
    <w:div w:id="1682855521">
      <w:bodyDiv w:val="1"/>
      <w:marLeft w:val="0"/>
      <w:marRight w:val="0"/>
      <w:marTop w:val="0"/>
      <w:marBottom w:val="0"/>
      <w:divBdr>
        <w:top w:val="none" w:sz="0" w:space="0" w:color="auto"/>
        <w:left w:val="none" w:sz="0" w:space="0" w:color="auto"/>
        <w:bottom w:val="none" w:sz="0" w:space="0" w:color="auto"/>
        <w:right w:val="none" w:sz="0" w:space="0" w:color="auto"/>
      </w:divBdr>
    </w:div>
    <w:div w:id="1723483710">
      <w:bodyDiv w:val="1"/>
      <w:marLeft w:val="0"/>
      <w:marRight w:val="0"/>
      <w:marTop w:val="0"/>
      <w:marBottom w:val="0"/>
      <w:divBdr>
        <w:top w:val="none" w:sz="0" w:space="0" w:color="auto"/>
        <w:left w:val="none" w:sz="0" w:space="0" w:color="auto"/>
        <w:bottom w:val="none" w:sz="0" w:space="0" w:color="auto"/>
        <w:right w:val="none" w:sz="0" w:space="0" w:color="auto"/>
      </w:divBdr>
    </w:div>
    <w:div w:id="1774856625">
      <w:bodyDiv w:val="1"/>
      <w:marLeft w:val="0"/>
      <w:marRight w:val="0"/>
      <w:marTop w:val="0"/>
      <w:marBottom w:val="0"/>
      <w:divBdr>
        <w:top w:val="none" w:sz="0" w:space="0" w:color="auto"/>
        <w:left w:val="none" w:sz="0" w:space="0" w:color="auto"/>
        <w:bottom w:val="none" w:sz="0" w:space="0" w:color="auto"/>
        <w:right w:val="none" w:sz="0" w:space="0" w:color="auto"/>
      </w:divBdr>
    </w:div>
    <w:div w:id="1801847658">
      <w:bodyDiv w:val="1"/>
      <w:marLeft w:val="0"/>
      <w:marRight w:val="0"/>
      <w:marTop w:val="0"/>
      <w:marBottom w:val="0"/>
      <w:divBdr>
        <w:top w:val="none" w:sz="0" w:space="0" w:color="auto"/>
        <w:left w:val="none" w:sz="0" w:space="0" w:color="auto"/>
        <w:bottom w:val="none" w:sz="0" w:space="0" w:color="auto"/>
        <w:right w:val="none" w:sz="0" w:space="0" w:color="auto"/>
      </w:divBdr>
    </w:div>
    <w:div w:id="1905294636">
      <w:bodyDiv w:val="1"/>
      <w:marLeft w:val="0"/>
      <w:marRight w:val="0"/>
      <w:marTop w:val="0"/>
      <w:marBottom w:val="0"/>
      <w:divBdr>
        <w:top w:val="none" w:sz="0" w:space="0" w:color="auto"/>
        <w:left w:val="none" w:sz="0" w:space="0" w:color="auto"/>
        <w:bottom w:val="none" w:sz="0" w:space="0" w:color="auto"/>
        <w:right w:val="none" w:sz="0" w:space="0" w:color="auto"/>
      </w:divBdr>
    </w:div>
    <w:div w:id="2008510308">
      <w:bodyDiv w:val="1"/>
      <w:marLeft w:val="0"/>
      <w:marRight w:val="0"/>
      <w:marTop w:val="0"/>
      <w:marBottom w:val="0"/>
      <w:divBdr>
        <w:top w:val="none" w:sz="0" w:space="0" w:color="auto"/>
        <w:left w:val="none" w:sz="0" w:space="0" w:color="auto"/>
        <w:bottom w:val="none" w:sz="0" w:space="0" w:color="auto"/>
        <w:right w:val="none" w:sz="0" w:space="0" w:color="auto"/>
      </w:divBdr>
    </w:div>
    <w:div w:id="203997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201\AppData\Local\Microsoft\Windows\Temporary%20Internet%20Files\Content.IE5\OBOO22TV\Informe%20de%20Auditoria%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2550B-1566-4A75-925E-21FD2772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de Auditoria </Template>
  <TotalTime>163</TotalTime>
  <Pages>14</Pages>
  <Words>2140</Words>
  <Characters>11770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PROCESO:</vt:lpstr>
    </vt:vector>
  </TitlesOfParts>
  <Company>Particular</Company>
  <LinksUpToDate>false</LinksUpToDate>
  <CharactersWithSpaces>13883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PROCESO:</dc:title>
  <dc:creator>usuario 1</dc:creator>
  <cp:lastModifiedBy>usuario 1</cp:lastModifiedBy>
  <cp:revision>37</cp:revision>
  <cp:lastPrinted>2009-12-15T21:14:00Z</cp:lastPrinted>
  <dcterms:created xsi:type="dcterms:W3CDTF">2020-05-20T15:17:00Z</dcterms:created>
  <dcterms:modified xsi:type="dcterms:W3CDTF">2020-05-21T18:17:00Z</dcterms:modified>
</cp:coreProperties>
</file>